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BA7" w:rsidRDefault="00966BA7" w:rsidP="00966BA7">
      <w:pPr>
        <w:jc w:val="center"/>
        <w:rPr>
          <w:b/>
          <w:sz w:val="32"/>
        </w:rPr>
      </w:pPr>
    </w:p>
    <w:p w:rsidR="00966BA7" w:rsidRPr="004D3F1F" w:rsidRDefault="00966BA7" w:rsidP="00966BA7">
      <w:pPr>
        <w:jc w:val="center"/>
        <w:rPr>
          <w:rFonts w:ascii="Bookman Old Style" w:hAnsi="Bookman Old Style"/>
          <w:b/>
          <w:sz w:val="28"/>
        </w:rPr>
      </w:pPr>
      <w:r w:rsidRPr="004D3F1F">
        <w:rPr>
          <w:rFonts w:ascii="Bookman Old Style" w:hAnsi="Bookman Old Style"/>
          <w:b/>
          <w:sz w:val="28"/>
        </w:rPr>
        <w:t>Forging a New World Order: The Political, Social, and Economic Consequences of World War I</w:t>
      </w:r>
    </w:p>
    <w:p w:rsidR="00966BA7" w:rsidRDefault="00966BA7" w:rsidP="00966BA7">
      <w:pPr>
        <w:jc w:val="center"/>
        <w:rPr>
          <w:b/>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47"/>
      </w:tblGrid>
      <w:tr w:rsidR="00966BA7" w:rsidTr="0046629E">
        <w:tc>
          <w:tcPr>
            <w:tcW w:w="9747" w:type="dxa"/>
          </w:tcPr>
          <w:p w:rsidR="00966BA7" w:rsidRPr="008D02D8" w:rsidRDefault="00966BA7" w:rsidP="0046629E">
            <w:pPr>
              <w:jc w:val="left"/>
              <w:rPr>
                <w:b/>
                <w:color w:val="0070C0"/>
                <w:sz w:val="22"/>
              </w:rPr>
            </w:pPr>
            <w:r w:rsidRPr="008D02D8">
              <w:rPr>
                <w:b/>
                <w:color w:val="0070C0"/>
                <w:sz w:val="22"/>
                <w:vertAlign w:val="superscript"/>
              </w:rPr>
              <w:t>1</w:t>
            </w:r>
            <w:r w:rsidRPr="008D02D8">
              <w:rPr>
                <w:b/>
                <w:color w:val="0070C0"/>
                <w:sz w:val="22"/>
              </w:rPr>
              <w:t xml:space="preserve">Author Name, </w:t>
            </w:r>
            <w:r w:rsidRPr="008D02D8">
              <w:rPr>
                <w:b/>
                <w:color w:val="0070C0"/>
                <w:sz w:val="22"/>
                <w:vertAlign w:val="superscript"/>
              </w:rPr>
              <w:t>2</w:t>
            </w:r>
            <w:r w:rsidRPr="008D02D8">
              <w:rPr>
                <w:b/>
                <w:color w:val="0070C0"/>
                <w:sz w:val="22"/>
              </w:rPr>
              <w:t xml:space="preserve">Author Name, </w:t>
            </w:r>
            <w:r w:rsidRPr="008D02D8">
              <w:rPr>
                <w:b/>
                <w:color w:val="0070C0"/>
                <w:sz w:val="22"/>
                <w:vertAlign w:val="superscript"/>
              </w:rPr>
              <w:t>3</w:t>
            </w:r>
            <w:r w:rsidRPr="008D02D8">
              <w:rPr>
                <w:b/>
                <w:color w:val="0070C0"/>
                <w:sz w:val="22"/>
              </w:rPr>
              <w:t>Author Name</w:t>
            </w:r>
          </w:p>
        </w:tc>
      </w:tr>
      <w:tr w:rsidR="00966BA7" w:rsidTr="0046629E">
        <w:tc>
          <w:tcPr>
            <w:tcW w:w="9747" w:type="dxa"/>
          </w:tcPr>
          <w:p w:rsidR="00966BA7" w:rsidRPr="008D02D8" w:rsidRDefault="00966BA7" w:rsidP="0046629E">
            <w:pPr>
              <w:jc w:val="left"/>
              <w:rPr>
                <w:color w:val="000000" w:themeColor="text1"/>
                <w:sz w:val="20"/>
              </w:rPr>
            </w:pPr>
            <w:r w:rsidRPr="008D02D8">
              <w:rPr>
                <w:color w:val="000000" w:themeColor="text1"/>
                <w:sz w:val="20"/>
                <w:vertAlign w:val="superscript"/>
              </w:rPr>
              <w:t>1</w:t>
            </w:r>
            <w:r w:rsidRPr="008D02D8">
              <w:rPr>
                <w:color w:val="000000" w:themeColor="text1"/>
                <w:sz w:val="20"/>
              </w:rPr>
              <w:t>Designation, Department, University/College/Affiliation, Country of the First Author</w:t>
            </w:r>
          </w:p>
        </w:tc>
      </w:tr>
      <w:tr w:rsidR="00966BA7" w:rsidTr="0046629E">
        <w:tc>
          <w:tcPr>
            <w:tcW w:w="9747" w:type="dxa"/>
          </w:tcPr>
          <w:p w:rsidR="00966BA7" w:rsidRPr="008D02D8" w:rsidRDefault="00966BA7" w:rsidP="0046629E">
            <w:pPr>
              <w:jc w:val="left"/>
              <w:rPr>
                <w:color w:val="000000" w:themeColor="text1"/>
                <w:sz w:val="20"/>
              </w:rPr>
            </w:pPr>
            <w:r w:rsidRPr="008D02D8">
              <w:rPr>
                <w:color w:val="000000" w:themeColor="text1"/>
                <w:sz w:val="20"/>
                <w:vertAlign w:val="superscript"/>
              </w:rPr>
              <w:t>2</w:t>
            </w:r>
            <w:r w:rsidRPr="008D02D8">
              <w:rPr>
                <w:color w:val="000000" w:themeColor="text1"/>
                <w:sz w:val="20"/>
              </w:rPr>
              <w:t>Designation, Department, University/College/Affiliation, Country of the Second Author</w:t>
            </w:r>
          </w:p>
        </w:tc>
      </w:tr>
      <w:tr w:rsidR="00966BA7" w:rsidTr="0046629E">
        <w:tc>
          <w:tcPr>
            <w:tcW w:w="9747" w:type="dxa"/>
          </w:tcPr>
          <w:p w:rsidR="00966BA7" w:rsidRPr="008D02D8" w:rsidRDefault="00966BA7" w:rsidP="0046629E">
            <w:pPr>
              <w:jc w:val="left"/>
              <w:rPr>
                <w:color w:val="000000" w:themeColor="text1"/>
                <w:sz w:val="20"/>
              </w:rPr>
            </w:pPr>
            <w:r w:rsidRPr="008D02D8">
              <w:rPr>
                <w:color w:val="000000" w:themeColor="text1"/>
                <w:sz w:val="20"/>
                <w:vertAlign w:val="superscript"/>
              </w:rPr>
              <w:t>3</w:t>
            </w:r>
            <w:r w:rsidRPr="008D02D8">
              <w:rPr>
                <w:color w:val="000000" w:themeColor="text1"/>
                <w:sz w:val="20"/>
              </w:rPr>
              <w:t>Designation, Department, University/College/Affiliation, Country of the Third Author</w:t>
            </w:r>
          </w:p>
        </w:tc>
      </w:tr>
      <w:tr w:rsidR="00966BA7" w:rsidTr="0046629E">
        <w:tc>
          <w:tcPr>
            <w:tcW w:w="9747" w:type="dxa"/>
          </w:tcPr>
          <w:p w:rsidR="00966BA7" w:rsidRPr="008D02D8" w:rsidRDefault="00966BA7" w:rsidP="0046629E">
            <w:pPr>
              <w:jc w:val="left"/>
              <w:rPr>
                <w:color w:val="000000" w:themeColor="text1"/>
                <w:sz w:val="20"/>
              </w:rPr>
            </w:pPr>
            <w:r w:rsidRPr="008D02D8">
              <w:rPr>
                <w:color w:val="000000" w:themeColor="text1"/>
                <w:sz w:val="20"/>
                <w:vertAlign w:val="superscript"/>
              </w:rPr>
              <w:t>1</w:t>
            </w:r>
            <w:r w:rsidRPr="008D02D8">
              <w:rPr>
                <w:color w:val="000000" w:themeColor="text1"/>
                <w:sz w:val="20"/>
              </w:rPr>
              <w:t xml:space="preserve">Email, </w:t>
            </w:r>
            <w:r w:rsidRPr="008D02D8">
              <w:rPr>
                <w:color w:val="000000" w:themeColor="text1"/>
                <w:sz w:val="20"/>
                <w:vertAlign w:val="superscript"/>
              </w:rPr>
              <w:t>2</w:t>
            </w:r>
            <w:r w:rsidRPr="008D02D8">
              <w:rPr>
                <w:color w:val="000000" w:themeColor="text1"/>
                <w:sz w:val="20"/>
              </w:rPr>
              <w:t xml:space="preserve">Email, </w:t>
            </w:r>
            <w:r w:rsidRPr="008D02D8">
              <w:rPr>
                <w:color w:val="000000" w:themeColor="text1"/>
                <w:sz w:val="20"/>
                <w:vertAlign w:val="superscript"/>
              </w:rPr>
              <w:t>3</w:t>
            </w:r>
            <w:r w:rsidRPr="008D02D8">
              <w:rPr>
                <w:color w:val="000000" w:themeColor="text1"/>
                <w:sz w:val="20"/>
              </w:rPr>
              <w:t>Email</w:t>
            </w:r>
          </w:p>
        </w:tc>
      </w:tr>
    </w:tbl>
    <w:p w:rsidR="00966BA7" w:rsidRDefault="00966BA7" w:rsidP="00966BA7">
      <w:pPr>
        <w:jc w:val="left"/>
        <w:rPr>
          <w:b/>
          <w:color w:val="0070C0"/>
          <w:sz w:val="22"/>
          <w:vertAlign w:val="superscript"/>
        </w:rPr>
      </w:pPr>
    </w:p>
    <w:p w:rsidR="00966BA7" w:rsidRPr="008D02D8" w:rsidRDefault="00966BA7" w:rsidP="00966BA7">
      <w:pPr>
        <w:jc w:val="left"/>
        <w:rPr>
          <w:sz w:val="10"/>
        </w:rPr>
      </w:pPr>
    </w:p>
    <w:p w:rsidR="00966BA7" w:rsidRPr="007E059F" w:rsidRDefault="00966BA7" w:rsidP="00966BA7">
      <w:pPr>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087"/>
      </w:tblGrid>
      <w:tr w:rsidR="00966BA7" w:rsidTr="0046629E">
        <w:tc>
          <w:tcPr>
            <w:tcW w:w="2660" w:type="dxa"/>
          </w:tcPr>
          <w:p w:rsidR="00966BA7" w:rsidRDefault="00966BA7" w:rsidP="0046629E">
            <w:pPr>
              <w:rPr>
                <w:b/>
                <w:color w:val="7030A0"/>
                <w:sz w:val="22"/>
              </w:rPr>
            </w:pPr>
            <w:r>
              <w:rPr>
                <w:b/>
                <w:color w:val="7030A0"/>
                <w:sz w:val="22"/>
              </w:rPr>
              <w:t>*</w:t>
            </w:r>
            <w:r w:rsidRPr="008D02D8">
              <w:rPr>
                <w:b/>
                <w:color w:val="7030A0"/>
                <w:sz w:val="22"/>
              </w:rPr>
              <w:t xml:space="preserve"> Corresponding Author:</w:t>
            </w:r>
          </w:p>
        </w:tc>
        <w:tc>
          <w:tcPr>
            <w:tcW w:w="7087" w:type="dxa"/>
          </w:tcPr>
          <w:p w:rsidR="00966BA7" w:rsidRDefault="00966BA7" w:rsidP="0046629E">
            <w:pPr>
              <w:rPr>
                <w:b/>
                <w:color w:val="7030A0"/>
                <w:sz w:val="22"/>
              </w:rPr>
            </w:pPr>
          </w:p>
        </w:tc>
      </w:tr>
      <w:tr w:rsidR="00966BA7" w:rsidTr="0046629E">
        <w:tc>
          <w:tcPr>
            <w:tcW w:w="2660" w:type="dxa"/>
          </w:tcPr>
          <w:p w:rsidR="00966BA7" w:rsidRDefault="00966BA7" w:rsidP="0046629E">
            <w:pPr>
              <w:rPr>
                <w:b/>
                <w:color w:val="7030A0"/>
                <w:sz w:val="22"/>
              </w:rPr>
            </w:pPr>
          </w:p>
        </w:tc>
        <w:tc>
          <w:tcPr>
            <w:tcW w:w="7087" w:type="dxa"/>
          </w:tcPr>
          <w:p w:rsidR="00966BA7" w:rsidRPr="008D02D8" w:rsidRDefault="00966BA7" w:rsidP="0046629E">
            <w:pPr>
              <w:rPr>
                <w:b/>
                <w:color w:val="002060"/>
                <w:sz w:val="20"/>
              </w:rPr>
            </w:pPr>
            <w:r w:rsidRPr="008D02D8">
              <w:rPr>
                <w:b/>
                <w:color w:val="002060"/>
                <w:sz w:val="20"/>
              </w:rPr>
              <w:t>Author Name</w:t>
            </w:r>
          </w:p>
        </w:tc>
      </w:tr>
      <w:tr w:rsidR="00966BA7" w:rsidTr="0046629E">
        <w:tc>
          <w:tcPr>
            <w:tcW w:w="2660" w:type="dxa"/>
          </w:tcPr>
          <w:p w:rsidR="00966BA7" w:rsidRDefault="00966BA7" w:rsidP="0046629E">
            <w:pPr>
              <w:rPr>
                <w:b/>
                <w:color w:val="7030A0"/>
                <w:sz w:val="22"/>
              </w:rPr>
            </w:pPr>
          </w:p>
        </w:tc>
        <w:tc>
          <w:tcPr>
            <w:tcW w:w="7087" w:type="dxa"/>
          </w:tcPr>
          <w:p w:rsidR="00966BA7" w:rsidRPr="008D02D8" w:rsidRDefault="00966BA7" w:rsidP="0046629E">
            <w:pPr>
              <w:rPr>
                <w:color w:val="7030A0"/>
                <w:sz w:val="20"/>
              </w:rPr>
            </w:pPr>
            <w:r w:rsidRPr="008D02D8">
              <w:rPr>
                <w:color w:val="7030A0"/>
                <w:sz w:val="20"/>
              </w:rPr>
              <w:t>Email Address</w:t>
            </w:r>
          </w:p>
        </w:tc>
      </w:tr>
    </w:tbl>
    <w:p w:rsidR="002A3AE7" w:rsidRPr="00966BA7" w:rsidRDefault="002A3AE7" w:rsidP="00B22C76">
      <w:pPr>
        <w:jc w:val="left"/>
        <w:rPr>
          <w:rFonts w:ascii="Bookman Old Style" w:hAnsi="Bookman Old Style"/>
          <w:sz w:val="28"/>
        </w:rPr>
      </w:pPr>
    </w:p>
    <w:p w:rsidR="00966BA7" w:rsidRDefault="00966BA7" w:rsidP="00B22C76">
      <w:pPr>
        <w:jc w:val="left"/>
      </w:pPr>
    </w:p>
    <w:tbl>
      <w:tblPr>
        <w:tblStyle w:val="TableGrid"/>
        <w:tblW w:w="0" w:type="auto"/>
        <w:tblInd w:w="108" w:type="dxa"/>
        <w:tblCellMar>
          <w:top w:w="57" w:type="dxa"/>
          <w:bottom w:w="57" w:type="dxa"/>
        </w:tblCellMar>
        <w:tblLook w:val="04A0"/>
      </w:tblPr>
      <w:tblGrid>
        <w:gridCol w:w="1418"/>
        <w:gridCol w:w="1559"/>
        <w:gridCol w:w="6769"/>
      </w:tblGrid>
      <w:tr w:rsidR="002A3AE7" w:rsidTr="00320ABF">
        <w:tc>
          <w:tcPr>
            <w:tcW w:w="2977" w:type="dxa"/>
            <w:gridSpan w:val="2"/>
            <w:tcBorders>
              <w:top w:val="single" w:sz="18" w:space="0" w:color="000000" w:themeColor="text1"/>
              <w:left w:val="nil"/>
              <w:bottom w:val="single" w:sz="18" w:space="0" w:color="000000" w:themeColor="text1"/>
              <w:right w:val="nil"/>
            </w:tcBorders>
          </w:tcPr>
          <w:p w:rsidR="002A3AE7" w:rsidRPr="002A3AE7" w:rsidRDefault="002A3AE7" w:rsidP="00B22C76">
            <w:pPr>
              <w:jc w:val="left"/>
              <w:rPr>
                <w:b/>
                <w:sz w:val="22"/>
              </w:rPr>
            </w:pPr>
            <w:r w:rsidRPr="00B91ECA">
              <w:rPr>
                <w:b/>
                <w:color w:val="002060"/>
                <w:sz w:val="22"/>
              </w:rPr>
              <w:t>ARTICLE INFO</w:t>
            </w:r>
          </w:p>
        </w:tc>
        <w:tc>
          <w:tcPr>
            <w:tcW w:w="6769" w:type="dxa"/>
            <w:tcBorders>
              <w:top w:val="single" w:sz="18" w:space="0" w:color="000000" w:themeColor="text1"/>
              <w:left w:val="nil"/>
              <w:bottom w:val="single" w:sz="18" w:space="0" w:color="000000" w:themeColor="text1"/>
              <w:right w:val="nil"/>
            </w:tcBorders>
          </w:tcPr>
          <w:p w:rsidR="002A3AE7" w:rsidRPr="00B91ECA" w:rsidRDefault="002A3AE7" w:rsidP="00B22C76">
            <w:pPr>
              <w:jc w:val="left"/>
              <w:rPr>
                <w:b/>
                <w:color w:val="002060"/>
                <w:sz w:val="22"/>
              </w:rPr>
            </w:pPr>
            <w:r w:rsidRPr="00B91ECA">
              <w:rPr>
                <w:b/>
                <w:color w:val="002060"/>
                <w:sz w:val="22"/>
              </w:rPr>
              <w:t>ABSTRACT</w:t>
            </w:r>
          </w:p>
        </w:tc>
      </w:tr>
      <w:tr w:rsidR="00532295" w:rsidTr="00320ABF">
        <w:trPr>
          <w:trHeight w:val="326"/>
        </w:trPr>
        <w:tc>
          <w:tcPr>
            <w:tcW w:w="2977" w:type="dxa"/>
            <w:gridSpan w:val="2"/>
            <w:tcBorders>
              <w:top w:val="single" w:sz="18" w:space="0" w:color="000000" w:themeColor="text1"/>
              <w:left w:val="nil"/>
              <w:bottom w:val="nil"/>
              <w:right w:val="nil"/>
            </w:tcBorders>
          </w:tcPr>
          <w:p w:rsidR="00532295" w:rsidRPr="00B91ECA" w:rsidRDefault="00532295" w:rsidP="00B22C76">
            <w:pPr>
              <w:jc w:val="left"/>
              <w:rPr>
                <w:b/>
                <w:color w:val="002060"/>
                <w:sz w:val="22"/>
              </w:rPr>
            </w:pPr>
            <w:r w:rsidRPr="00B91ECA">
              <w:rPr>
                <w:b/>
                <w:i/>
                <w:color w:val="002060"/>
                <w:sz w:val="18"/>
              </w:rPr>
              <w:t>Article History</w:t>
            </w:r>
          </w:p>
        </w:tc>
        <w:tc>
          <w:tcPr>
            <w:tcW w:w="6769" w:type="dxa"/>
            <w:vMerge w:val="restart"/>
            <w:tcBorders>
              <w:top w:val="single" w:sz="18" w:space="0" w:color="000000" w:themeColor="text1"/>
              <w:left w:val="nil"/>
              <w:bottom w:val="single" w:sz="18" w:space="0" w:color="000000" w:themeColor="text1"/>
              <w:right w:val="nil"/>
            </w:tcBorders>
            <w:shd w:val="clear" w:color="auto" w:fill="DAEEF3" w:themeFill="accent5" w:themeFillTint="33"/>
          </w:tcPr>
          <w:p w:rsidR="00824A64" w:rsidRPr="00824A64" w:rsidRDefault="00824A64" w:rsidP="00824A64">
            <w:pPr>
              <w:rPr>
                <w:sz w:val="22"/>
                <w:lang w:val="en-GB"/>
              </w:rPr>
            </w:pPr>
            <w:r w:rsidRPr="00824A64">
              <w:rPr>
                <w:sz w:val="22"/>
                <w:lang w:val="en-GB"/>
              </w:rPr>
              <w:t>The study explores the transformative power of subaltern historiography in reshaping historical narratives and amplifying marginalised voices. The objective of this research is to examine the theoretical foundations and methodologies of subaltern historiography, assess its impact on challenging dominant narratives, and explore its role in promoting social justice and inclusivity within historical scholarship. The research methodology employed is primarily analytical and historical, involving an analysis of subaltern perspectives, narratives, and events through a critical lens. Findings indicate that subaltern historiography offers a crucial alternative to traditional historical approaches by bringing forth marginalised voices and experiences that have been historically overlooked or silenced. The study reveals that subaltern historiography has the potential to challenge dominant narratives, disrupt existing power structures, and create space for diverse voices within historical research and writing. By incorporating subaltern perspectives, historians can contribute to a more comprehensive and accurate understanding of historical events, movements, and social structures. The study highlights the importance of integrating subaltern historiography in history education to foster inclusivity and promote a more equitable representation of the past.</w:t>
            </w:r>
          </w:p>
          <w:p w:rsidR="00320ABF" w:rsidRPr="002A3AE7" w:rsidRDefault="00320ABF" w:rsidP="004D3F1F">
            <w:pPr>
              <w:jc w:val="left"/>
              <w:rPr>
                <w:b/>
                <w:sz w:val="22"/>
              </w:rPr>
            </w:pPr>
          </w:p>
        </w:tc>
      </w:tr>
      <w:tr w:rsidR="00B92EC9" w:rsidTr="00320ABF">
        <w:trPr>
          <w:trHeight w:val="1011"/>
        </w:trPr>
        <w:tc>
          <w:tcPr>
            <w:tcW w:w="1418" w:type="dxa"/>
            <w:tcBorders>
              <w:top w:val="nil"/>
              <w:left w:val="nil"/>
              <w:bottom w:val="nil"/>
              <w:right w:val="nil"/>
            </w:tcBorders>
          </w:tcPr>
          <w:p w:rsidR="00B92EC9" w:rsidRPr="00B92EC9" w:rsidRDefault="00B92EC9" w:rsidP="00B91ECA">
            <w:pPr>
              <w:spacing w:line="360" w:lineRule="auto"/>
              <w:jc w:val="left"/>
              <w:rPr>
                <w:sz w:val="16"/>
              </w:rPr>
            </w:pPr>
            <w:r w:rsidRPr="00B92EC9">
              <w:rPr>
                <w:sz w:val="16"/>
              </w:rPr>
              <w:t>Received</w:t>
            </w:r>
          </w:p>
          <w:p w:rsidR="00B92EC9" w:rsidRPr="00B92EC9" w:rsidRDefault="00B92EC9" w:rsidP="00B91ECA">
            <w:pPr>
              <w:spacing w:line="360" w:lineRule="auto"/>
              <w:jc w:val="left"/>
              <w:rPr>
                <w:sz w:val="16"/>
              </w:rPr>
            </w:pPr>
            <w:r w:rsidRPr="00B92EC9">
              <w:rPr>
                <w:sz w:val="16"/>
              </w:rPr>
              <w:t>Revised</w:t>
            </w:r>
          </w:p>
          <w:p w:rsidR="00B92EC9" w:rsidRPr="00B92EC9" w:rsidRDefault="00B92EC9" w:rsidP="00B91ECA">
            <w:pPr>
              <w:spacing w:line="360" w:lineRule="auto"/>
              <w:jc w:val="left"/>
              <w:rPr>
                <w:sz w:val="16"/>
              </w:rPr>
            </w:pPr>
            <w:r w:rsidRPr="00B92EC9">
              <w:rPr>
                <w:sz w:val="16"/>
              </w:rPr>
              <w:t>Accepted</w:t>
            </w:r>
          </w:p>
          <w:p w:rsidR="00B92EC9" w:rsidRPr="00B92EC9" w:rsidRDefault="00B92EC9" w:rsidP="00B91ECA">
            <w:pPr>
              <w:spacing w:line="360" w:lineRule="auto"/>
              <w:jc w:val="left"/>
              <w:rPr>
                <w:sz w:val="16"/>
              </w:rPr>
            </w:pPr>
            <w:r w:rsidRPr="00B92EC9">
              <w:rPr>
                <w:sz w:val="16"/>
              </w:rPr>
              <w:t>Available Online</w:t>
            </w:r>
          </w:p>
        </w:tc>
        <w:tc>
          <w:tcPr>
            <w:tcW w:w="1559" w:type="dxa"/>
            <w:tcBorders>
              <w:top w:val="nil"/>
              <w:left w:val="nil"/>
              <w:bottom w:val="nil"/>
              <w:right w:val="nil"/>
            </w:tcBorders>
          </w:tcPr>
          <w:p w:rsidR="00B92EC9" w:rsidRPr="00B92EC9" w:rsidRDefault="00B92EC9" w:rsidP="00B91ECA">
            <w:pPr>
              <w:spacing w:line="360" w:lineRule="auto"/>
              <w:jc w:val="left"/>
              <w:rPr>
                <w:sz w:val="16"/>
              </w:rPr>
            </w:pPr>
            <w:r>
              <w:rPr>
                <w:sz w:val="16"/>
              </w:rPr>
              <w:t>15</w:t>
            </w:r>
            <w:r w:rsidRPr="00B92EC9">
              <w:rPr>
                <w:sz w:val="16"/>
                <w:vertAlign w:val="superscript"/>
              </w:rPr>
              <w:t>th</w:t>
            </w:r>
            <w:r>
              <w:rPr>
                <w:sz w:val="16"/>
              </w:rPr>
              <w:t xml:space="preserve"> January, 2023</w:t>
            </w:r>
          </w:p>
          <w:p w:rsidR="00B92EC9" w:rsidRPr="00B92EC9" w:rsidRDefault="00B92EC9" w:rsidP="00B91ECA">
            <w:pPr>
              <w:spacing w:line="360" w:lineRule="auto"/>
              <w:jc w:val="left"/>
              <w:rPr>
                <w:sz w:val="16"/>
              </w:rPr>
            </w:pPr>
            <w:r>
              <w:rPr>
                <w:sz w:val="16"/>
              </w:rPr>
              <w:t>21</w:t>
            </w:r>
            <w:r w:rsidRPr="00B92EC9">
              <w:rPr>
                <w:sz w:val="16"/>
                <w:vertAlign w:val="superscript"/>
              </w:rPr>
              <w:t>st</w:t>
            </w:r>
            <w:r>
              <w:rPr>
                <w:sz w:val="16"/>
              </w:rPr>
              <w:t xml:space="preserve"> January, 2023</w:t>
            </w:r>
          </w:p>
          <w:p w:rsidR="00B92EC9" w:rsidRPr="00B92EC9" w:rsidRDefault="00B92EC9" w:rsidP="00B91ECA">
            <w:pPr>
              <w:spacing w:line="360" w:lineRule="auto"/>
              <w:jc w:val="left"/>
              <w:rPr>
                <w:sz w:val="16"/>
              </w:rPr>
            </w:pPr>
            <w:r>
              <w:rPr>
                <w:sz w:val="16"/>
              </w:rPr>
              <w:t>23, March, 2023</w:t>
            </w:r>
          </w:p>
          <w:p w:rsidR="00B92EC9" w:rsidRPr="00B92EC9" w:rsidRDefault="00824A64" w:rsidP="00824A64">
            <w:pPr>
              <w:spacing w:line="360" w:lineRule="auto"/>
              <w:jc w:val="left"/>
              <w:rPr>
                <w:sz w:val="16"/>
              </w:rPr>
            </w:pPr>
            <w:r>
              <w:rPr>
                <w:sz w:val="16"/>
              </w:rPr>
              <w:t>25</w:t>
            </w:r>
            <w:r w:rsidR="00B92EC9">
              <w:rPr>
                <w:sz w:val="16"/>
              </w:rPr>
              <w:t xml:space="preserve">, </w:t>
            </w:r>
            <w:r>
              <w:rPr>
                <w:sz w:val="16"/>
              </w:rPr>
              <w:t>March</w:t>
            </w:r>
            <w:r w:rsidR="00B92EC9">
              <w:rPr>
                <w:sz w:val="16"/>
              </w:rPr>
              <w:t>, 2023</w:t>
            </w:r>
          </w:p>
        </w:tc>
        <w:tc>
          <w:tcPr>
            <w:tcW w:w="6769" w:type="dxa"/>
            <w:vMerge/>
            <w:tcBorders>
              <w:left w:val="nil"/>
              <w:bottom w:val="single" w:sz="18" w:space="0" w:color="000000" w:themeColor="text1"/>
              <w:right w:val="nil"/>
            </w:tcBorders>
            <w:shd w:val="clear" w:color="auto" w:fill="DAEEF3" w:themeFill="accent5" w:themeFillTint="33"/>
          </w:tcPr>
          <w:p w:rsidR="00B92EC9" w:rsidRPr="002A3AE7" w:rsidRDefault="00B92EC9" w:rsidP="00B22C76">
            <w:pPr>
              <w:jc w:val="left"/>
              <w:rPr>
                <w:b/>
                <w:sz w:val="22"/>
              </w:rPr>
            </w:pPr>
          </w:p>
        </w:tc>
      </w:tr>
      <w:tr w:rsidR="00532295" w:rsidTr="006A4DD8">
        <w:trPr>
          <w:trHeight w:val="326"/>
        </w:trPr>
        <w:tc>
          <w:tcPr>
            <w:tcW w:w="2977" w:type="dxa"/>
            <w:gridSpan w:val="2"/>
            <w:tcBorders>
              <w:top w:val="nil"/>
              <w:left w:val="nil"/>
              <w:bottom w:val="nil"/>
              <w:right w:val="nil"/>
            </w:tcBorders>
          </w:tcPr>
          <w:p w:rsidR="004158A6" w:rsidRPr="004B0DF6" w:rsidRDefault="004158A6" w:rsidP="002A3AE7">
            <w:pPr>
              <w:spacing w:line="360" w:lineRule="auto"/>
              <w:rPr>
                <w:b/>
                <w:color w:val="002060"/>
                <w:sz w:val="18"/>
              </w:rPr>
            </w:pPr>
          </w:p>
          <w:p w:rsidR="004B0DF6" w:rsidRPr="004B0DF6" w:rsidRDefault="004B0DF6" w:rsidP="004B0DF6">
            <w:pPr>
              <w:spacing w:line="360" w:lineRule="auto"/>
              <w:rPr>
                <w:b/>
                <w:color w:val="002060"/>
                <w:sz w:val="18"/>
              </w:rPr>
            </w:pPr>
            <w:r w:rsidRPr="004B0DF6">
              <w:rPr>
                <w:b/>
                <w:color w:val="002060"/>
                <w:sz w:val="18"/>
              </w:rPr>
              <w:t>ARTICLE ID</w:t>
            </w:r>
          </w:p>
          <w:p w:rsidR="00B92EC9" w:rsidRDefault="00196202" w:rsidP="002A3AE7">
            <w:pPr>
              <w:spacing w:line="360" w:lineRule="auto"/>
              <w:rPr>
                <w:b/>
                <w:sz w:val="18"/>
              </w:rPr>
            </w:pPr>
            <w:r>
              <w:rPr>
                <w:b/>
                <w:sz w:val="18"/>
              </w:rPr>
              <w:t>PH</w:t>
            </w:r>
            <w:r w:rsidR="00931BDA">
              <w:rPr>
                <w:b/>
                <w:sz w:val="18"/>
              </w:rPr>
              <w:t>JSSH</w:t>
            </w:r>
            <w:r w:rsidR="004B0DF6">
              <w:rPr>
                <w:b/>
                <w:sz w:val="18"/>
              </w:rPr>
              <w:t>00000</w:t>
            </w:r>
            <w:r w:rsidR="00824A64">
              <w:rPr>
                <w:b/>
                <w:sz w:val="18"/>
              </w:rPr>
              <w:t>1</w:t>
            </w:r>
          </w:p>
          <w:p w:rsidR="004B0DF6" w:rsidRDefault="004B0DF6" w:rsidP="002A3AE7">
            <w:pPr>
              <w:spacing w:line="360" w:lineRule="auto"/>
              <w:rPr>
                <w:b/>
                <w:sz w:val="18"/>
              </w:rPr>
            </w:pPr>
          </w:p>
          <w:p w:rsidR="004B0DF6" w:rsidRPr="004B0DF6" w:rsidRDefault="004B0DF6" w:rsidP="002A3AE7">
            <w:pPr>
              <w:spacing w:line="360" w:lineRule="auto"/>
              <w:rPr>
                <w:b/>
                <w:sz w:val="18"/>
              </w:rPr>
            </w:pPr>
          </w:p>
          <w:p w:rsidR="00532295" w:rsidRPr="00B91ECA" w:rsidRDefault="00B91ECA" w:rsidP="002A3AE7">
            <w:pPr>
              <w:spacing w:line="360" w:lineRule="auto"/>
              <w:rPr>
                <w:i/>
                <w:color w:val="002060"/>
                <w:sz w:val="16"/>
              </w:rPr>
            </w:pPr>
            <w:r w:rsidRPr="00B91ECA">
              <w:rPr>
                <w:b/>
                <w:i/>
                <w:color w:val="002060"/>
                <w:sz w:val="18"/>
              </w:rPr>
              <w:t>KEYWORDS</w:t>
            </w:r>
          </w:p>
        </w:tc>
        <w:tc>
          <w:tcPr>
            <w:tcW w:w="6769" w:type="dxa"/>
            <w:vMerge/>
            <w:tcBorders>
              <w:left w:val="nil"/>
              <w:bottom w:val="single" w:sz="18" w:space="0" w:color="000000" w:themeColor="text1"/>
              <w:right w:val="nil"/>
            </w:tcBorders>
            <w:shd w:val="clear" w:color="auto" w:fill="DAEEF3" w:themeFill="accent5" w:themeFillTint="33"/>
          </w:tcPr>
          <w:p w:rsidR="00532295" w:rsidRPr="002A3AE7" w:rsidRDefault="00532295" w:rsidP="00B22C76">
            <w:pPr>
              <w:jc w:val="left"/>
              <w:rPr>
                <w:b/>
                <w:sz w:val="22"/>
              </w:rPr>
            </w:pPr>
          </w:p>
        </w:tc>
      </w:tr>
      <w:tr w:rsidR="00532295" w:rsidTr="006A4DD8">
        <w:trPr>
          <w:trHeight w:val="598"/>
        </w:trPr>
        <w:tc>
          <w:tcPr>
            <w:tcW w:w="2977" w:type="dxa"/>
            <w:gridSpan w:val="2"/>
            <w:tcBorders>
              <w:top w:val="nil"/>
              <w:left w:val="nil"/>
              <w:bottom w:val="single" w:sz="18" w:space="0" w:color="000000" w:themeColor="text1"/>
              <w:right w:val="nil"/>
            </w:tcBorders>
          </w:tcPr>
          <w:p w:rsidR="004158A6" w:rsidRPr="00532295" w:rsidRDefault="00824A64" w:rsidP="00824A64">
            <w:pPr>
              <w:spacing w:line="360" w:lineRule="auto"/>
              <w:jc w:val="left"/>
              <w:rPr>
                <w:sz w:val="16"/>
              </w:rPr>
            </w:pPr>
            <w:r>
              <w:rPr>
                <w:i/>
                <w:noProof/>
                <w:sz w:val="16"/>
                <w:lang w:val="en-GB" w:eastAsia="en-GB"/>
              </w:rPr>
              <w:drawing>
                <wp:anchor distT="0" distB="0" distL="114300" distR="114300" simplePos="0" relativeHeight="251660288" behindDoc="0" locked="0" layoutInCell="1" allowOverlap="1">
                  <wp:simplePos x="0" y="0"/>
                  <wp:positionH relativeFrom="column">
                    <wp:posOffset>200025</wp:posOffset>
                  </wp:positionH>
                  <wp:positionV relativeFrom="paragraph">
                    <wp:posOffset>1459230</wp:posOffset>
                  </wp:positionV>
                  <wp:extent cx="1069975" cy="421005"/>
                  <wp:effectExtent l="19050" t="0" r="0" b="0"/>
                  <wp:wrapNone/>
                  <wp:docPr id="4" name="Picture 3" descr="C:\Users\HISTORIAN\Downloads\open-access-logo-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TORIAN\Downloads\open-access-logo-png-transparent.png"/>
                          <pic:cNvPicPr>
                            <a:picLocks noChangeAspect="1" noChangeArrowheads="1"/>
                          </pic:cNvPicPr>
                        </pic:nvPicPr>
                        <pic:blipFill>
                          <a:blip r:embed="rId7" cstate="print"/>
                          <a:srcRect/>
                          <a:stretch>
                            <a:fillRect/>
                          </a:stretch>
                        </pic:blipFill>
                        <pic:spPr bwMode="auto">
                          <a:xfrm>
                            <a:off x="0" y="0"/>
                            <a:ext cx="1069975" cy="421005"/>
                          </a:xfrm>
                          <a:prstGeom prst="rect">
                            <a:avLst/>
                          </a:prstGeom>
                          <a:noFill/>
                          <a:ln w="9525">
                            <a:noFill/>
                            <a:miter lim="800000"/>
                            <a:headEnd/>
                            <a:tailEnd/>
                          </a:ln>
                        </pic:spPr>
                      </pic:pic>
                    </a:graphicData>
                  </a:graphic>
                </wp:anchor>
              </w:drawing>
            </w:r>
            <w:r w:rsidRPr="00824A64">
              <w:rPr>
                <w:i/>
                <w:sz w:val="16"/>
              </w:rPr>
              <w:t>amplifying, historical narratives, marginalized voices, subaltern historiography, transformative</w:t>
            </w:r>
            <w:r w:rsidRPr="00824A64">
              <w:rPr>
                <w:i/>
                <w:sz w:val="16"/>
                <w:lang w:val="en-GB"/>
              </w:rPr>
              <w:t xml:space="preserve"> </w:t>
            </w:r>
          </w:p>
        </w:tc>
        <w:tc>
          <w:tcPr>
            <w:tcW w:w="6769" w:type="dxa"/>
            <w:vMerge/>
            <w:tcBorders>
              <w:left w:val="nil"/>
              <w:bottom w:val="single" w:sz="18" w:space="0" w:color="000000" w:themeColor="text1"/>
              <w:right w:val="nil"/>
            </w:tcBorders>
            <w:shd w:val="clear" w:color="auto" w:fill="DAEEF3" w:themeFill="accent5" w:themeFillTint="33"/>
          </w:tcPr>
          <w:p w:rsidR="00532295" w:rsidRPr="002A3AE7" w:rsidRDefault="00532295" w:rsidP="00B22C76">
            <w:pPr>
              <w:jc w:val="left"/>
              <w:rPr>
                <w:b/>
                <w:sz w:val="22"/>
              </w:rPr>
            </w:pPr>
          </w:p>
        </w:tc>
      </w:tr>
    </w:tbl>
    <w:p w:rsidR="0045010F" w:rsidRDefault="0045010F" w:rsidP="00B22C76">
      <w:pPr>
        <w:jc w:val="left"/>
        <w:sectPr w:rsidR="0045010F" w:rsidSect="002A3AE7">
          <w:headerReference w:type="default" r:id="rId8"/>
          <w:footerReference w:type="default" r:id="rId9"/>
          <w:pgSz w:w="11906" w:h="16838"/>
          <w:pgMar w:top="1134" w:right="1134" w:bottom="1134" w:left="1134" w:header="709" w:footer="709" w:gutter="0"/>
          <w:cols w:space="708"/>
          <w:docGrid w:linePitch="360"/>
        </w:sectPr>
      </w:pPr>
    </w:p>
    <w:p w:rsidR="004158A6" w:rsidRDefault="00A40EFC" w:rsidP="003213F7">
      <w:pPr>
        <w:jc w:val="left"/>
        <w:rPr>
          <w:b/>
        </w:rPr>
      </w:pPr>
      <w:r w:rsidRPr="00DC1D29">
        <w:rPr>
          <w:b/>
          <w:sz w:val="26"/>
        </w:rPr>
        <w:lastRenderedPageBreak/>
        <w:t>1. INTRODUCTION</w:t>
      </w:r>
    </w:p>
    <w:p w:rsidR="00824A64" w:rsidRPr="00824A64" w:rsidRDefault="003213F7" w:rsidP="00824A64">
      <w:pPr>
        <w:rPr>
          <w:lang w:val="en-GB"/>
        </w:rPr>
      </w:pPr>
      <w:r>
        <w:tab/>
      </w:r>
      <w:r w:rsidR="00824A64" w:rsidRPr="00824A64">
        <w:rPr>
          <w:lang w:val="en-GB"/>
        </w:rPr>
        <w:t>The origins of subaltern studies can be traced back to the 1960s and 1970s, a period of significant social and political upheaval in many parts of the world. During this time, scholars and activists began to challenge the dominant narratives of history, which tended to focus on the actions of elites and ignore the experiences of ordinary people, particularly those from marginalised communities. One of the most influential figures in the development of subaltern studies was the Indian historian Ranajit Guha, who, in the 1980s, founded the Subaltern Studies collective with a group of like-minded scholars. Guha argued that traditional historical approaches were Eurocentric and failed to capture the experiences and perspectives of subaltern groups, such as peasants, workers, and indigenous peoples, who had been excluded from mainstream historical narratives.</w:t>
      </w:r>
    </w:p>
    <w:p w:rsidR="00824A64" w:rsidRPr="00824A64" w:rsidRDefault="00824A64" w:rsidP="00042978">
      <w:pPr>
        <w:ind w:firstLine="720"/>
        <w:rPr>
          <w:lang w:val="en-GB"/>
        </w:rPr>
      </w:pPr>
      <w:r w:rsidRPr="00824A64">
        <w:rPr>
          <w:lang w:val="en-GB"/>
        </w:rPr>
        <w:t>The Subaltern Studies collective sought to recover the voices and experiences of these groups by using a range of sources, including oral histories, folklore, and popular culture, as well as more traditional archival sources. By doing so, they aimed to challenge the dominant narratives of history and offer a more nuanced and complex understanding of the past. The impact of subaltern studies has been far-reaching, not only in terms of expanding our understanding of history, but also in terms of challenging power structures and fostering social change. By giving voice to those who have been silenced, subaltern studies has helped to create a more inclusive and democratic vision of history, one that recognises the agency and contributions of all members of society, regardless of their social status or background.</w:t>
      </w:r>
    </w:p>
    <w:p w:rsidR="00824A64" w:rsidRPr="00824A64" w:rsidRDefault="00824A64" w:rsidP="00042978">
      <w:pPr>
        <w:ind w:firstLine="720"/>
      </w:pPr>
      <w:r w:rsidRPr="00824A64">
        <w:t>The study is significant as it sheds light on the transformative power of subaltern historiography in uncovering marginalised voices and challenging dominant narratives. By examining its theoretical foundations, methodologies, and impact, this study contributes to a broader understanding of the potential of subaltern historiography to promote social justice, inclusivity, and a more comprehensive and accurate representation of history.</w:t>
      </w:r>
    </w:p>
    <w:p w:rsidR="00824A64" w:rsidRPr="00824A64" w:rsidRDefault="00824A64" w:rsidP="00824A64">
      <w:pPr>
        <w:rPr>
          <w:b/>
        </w:rPr>
      </w:pPr>
      <w:r>
        <w:rPr>
          <w:b/>
        </w:rPr>
        <w:t xml:space="preserve">1.1. </w:t>
      </w:r>
      <w:r w:rsidRPr="00824A64">
        <w:rPr>
          <w:b/>
        </w:rPr>
        <w:t>Research Objectives</w:t>
      </w:r>
    </w:p>
    <w:p w:rsidR="00824A64" w:rsidRPr="00824A64" w:rsidRDefault="00824A64" w:rsidP="00042978">
      <w:pPr>
        <w:ind w:firstLine="720"/>
      </w:pPr>
      <w:r w:rsidRPr="00824A64">
        <w:t>The objectives of the study are to examine the theoretical foundations and methodologies of subaltern historiography, analyze its impact on challenging dominant narratives and amplifying marginalised voices, assess its limitations and criticisms, explore its role in promoting social justice and inclusivity, evaluate its reception within mainstream historical discourse, and provide recommendations for integrating subaltern perspectives in history education.</w:t>
      </w:r>
    </w:p>
    <w:p w:rsidR="00824A64" w:rsidRPr="00824A64" w:rsidRDefault="00824A64" w:rsidP="00824A64">
      <w:pPr>
        <w:rPr>
          <w:b/>
        </w:rPr>
      </w:pPr>
      <w:r>
        <w:rPr>
          <w:b/>
        </w:rPr>
        <w:t xml:space="preserve">1.2. </w:t>
      </w:r>
      <w:r w:rsidRPr="00824A64">
        <w:rPr>
          <w:b/>
        </w:rPr>
        <w:t>Methodology</w:t>
      </w:r>
    </w:p>
    <w:p w:rsidR="00824A64" w:rsidRPr="00824A64" w:rsidRDefault="00824A64" w:rsidP="00042978">
      <w:pPr>
        <w:ind w:firstLine="720"/>
      </w:pPr>
      <w:r w:rsidRPr="00824A64">
        <w:t>The research methodology employed in the study is primarily analytical and historical. The study involves an analysis of the theoretical foundations and key principles of subaltern historiography, as well as an examination of historical narratives and events from the perspective of subaltern voices. The aim is to critically evaluate the impact and implications of subaltern historiography on history writing and challenge dominant narratives.</w:t>
      </w:r>
    </w:p>
    <w:p w:rsidR="00824A64" w:rsidRPr="00824A64" w:rsidRDefault="00824A64" w:rsidP="00824A64">
      <w:pPr>
        <w:rPr>
          <w:b/>
          <w:sz w:val="26"/>
        </w:rPr>
      </w:pPr>
      <w:r>
        <w:rPr>
          <w:b/>
          <w:sz w:val="26"/>
        </w:rPr>
        <w:t xml:space="preserve">2. </w:t>
      </w:r>
      <w:r w:rsidRPr="00824A64">
        <w:rPr>
          <w:b/>
          <w:sz w:val="26"/>
        </w:rPr>
        <w:t>RESULTS AND DISCUSSION</w:t>
      </w:r>
    </w:p>
    <w:p w:rsidR="00824A64" w:rsidRPr="00824A64" w:rsidRDefault="00824A64" w:rsidP="00824A64">
      <w:pPr>
        <w:rPr>
          <w:lang w:val="en-GB"/>
        </w:rPr>
      </w:pPr>
      <w:r w:rsidRPr="00824A64">
        <w:tab/>
      </w:r>
      <w:r w:rsidRPr="00824A64">
        <w:rPr>
          <w:lang w:val="en-GB"/>
        </w:rPr>
        <w:t xml:space="preserve">Subaltern historiography emerged as a form of scholarship in the 1980s, spearheaded by the Subaltern Studies Collective, a group of South Asian scholars interested in postcolonial studies and the historiography of the Indian subcontinent (Chakrabarty, 2000; Kumar &amp; Roy, 2019). The term </w:t>
      </w:r>
      <w:r w:rsidRPr="00824A64">
        <w:rPr>
          <w:lang w:val="en-GB"/>
        </w:rPr>
        <w:lastRenderedPageBreak/>
        <w:t>"subaltern" originally borrowed from Gramsci, designates the social groups excluded from the socio-political hegemony and largely refers to the oppressed, marginalised, or disenfranchised individuals and communities.  At its core, subaltern historiography seeks to counter elitist historiographies and to give voice to those who have been silenced in history (Chakrabarty, 2000). It attempts to disrupt the conventional, often Eurocentric, models of historiography that tend to marginalise non-Western perspectives and the voices of those at the lower echelons of society (Currie, 1995).</w:t>
      </w:r>
    </w:p>
    <w:p w:rsidR="00824A64" w:rsidRPr="00824A64" w:rsidRDefault="00824A64" w:rsidP="00824A64">
      <w:pPr>
        <w:ind w:firstLine="720"/>
        <w:rPr>
          <w:lang w:val="en-GB"/>
        </w:rPr>
      </w:pPr>
      <w:r w:rsidRPr="00824A64">
        <w:rPr>
          <w:lang w:val="en-GB"/>
        </w:rPr>
        <w:t xml:space="preserve">A significant concept in subaltern historiography is that of "deconstructing historiography". This involves challenging existing historical narratives and breaking down the structures and systems of thought that have traditionally informed the writing of history. Spivak's work underscores the importance of critically examining the "construction" of history, particularly in the context of postcolonial societies (Spivak, 2012). Despite its many contributions, subaltern historiography has faced criticism. One such critique is that subaltern studies, in their aim to recover the voices of the marginalised, may inadvertently homogenise these voices.  Further, the approach has been critiqued for potentially fostering a dichotomous view of 'elite' versus 'subaltern', which might oversimplify complex social dynamics. </w:t>
      </w:r>
    </w:p>
    <w:p w:rsidR="00824A64" w:rsidRPr="00824A64" w:rsidRDefault="00824A64" w:rsidP="00824A64">
      <w:pPr>
        <w:ind w:firstLine="720"/>
        <w:rPr>
          <w:lang w:val="en-GB"/>
        </w:rPr>
      </w:pPr>
      <w:r w:rsidRPr="00824A64">
        <w:rPr>
          <w:lang w:val="en-GB"/>
        </w:rPr>
        <w:t>Subaltern historiography, while originally focused on South Asian history, has found broad applicability in various historical and geographic contexts. For instance, Egan (2002) applied this methodology in examining environmental history in the United States. Similarly, Sand (2014) and Roos (2016) have used it in studying aspects of the Japanese Empire and South African history, respectively. Subaltern historiography emphasises the need to re-imagine and rewrite history from the perspective of those who have been historically marginalised and silenced. It involves not merely recording 'events', but analyzing social and political structures and their influence on the formation and perception of historical narratives (Prakash, 1994).</w:t>
      </w:r>
    </w:p>
    <w:p w:rsidR="00824A64" w:rsidRPr="00824A64" w:rsidRDefault="00824A64" w:rsidP="00824A64">
      <w:pPr>
        <w:ind w:firstLine="720"/>
        <w:rPr>
          <w:lang w:val="en-GB"/>
        </w:rPr>
      </w:pPr>
      <w:r w:rsidRPr="00824A64">
        <w:rPr>
          <w:lang w:val="en-GB"/>
        </w:rPr>
        <w:t xml:space="preserve">Historically, subaltern voices, or those belonging to individuals or groups that exist on the periphery of dominant power structures, have been marginalised in traditional historiographies. These narratives often favor the dominant, elite, or imperial classes, reinforcing their perspectives and power structures (Chakrabarty, 2000; Spivak, 2012). Subaltern studies emerged as a critique and challenge to this type of historiography. It seeks to expose and challenge the dominant narratives that have shaped our understanding of history (Currie, 1995). Furthermore, it strives to give a voice to those who have been silenced or marginalised in the history-making process (Chakrabarty, 2000; Spivak, 2012). For instance, Rodriguez's (1994) exploration of historiography on the Rio Grande provides a voice to subaltern communities that have been overlooked in mainstream historical narratives. Still, subaltern studies face its own limitations. Sarkar (2002) discusses the decline of the subaltern in subaltern studies, pointing to the challenges of fully integrating these marginalised voices into historiography. This could be seen as an inherent problem with the methodology itself, reflecting the difficulties of grappling with silenced voices and the inaccessibility of some primary sources. Various domains offer different takes on subaltern historiography. For example, Egan's (2002) review of subaltern environmentalism in the US offers an analysis of marginalised communities' impact and engagement with the environment, often overlooked in mainstream environmental histories. Similarly, Roos (2016) examines South African </w:t>
      </w:r>
      <w:r w:rsidRPr="00824A64">
        <w:rPr>
          <w:lang w:val="en-GB"/>
        </w:rPr>
        <w:lastRenderedPageBreak/>
        <w:t>historiography, suggesting a radical historical investigation into white populations' experiences as subalterns, a perspective that traditional histories have ignored.</w:t>
      </w:r>
    </w:p>
    <w:p w:rsidR="00824A64" w:rsidRPr="00824A64" w:rsidRDefault="00824A64" w:rsidP="00824A64">
      <w:pPr>
        <w:ind w:firstLine="720"/>
        <w:rPr>
          <w:lang w:val="en-GB"/>
        </w:rPr>
      </w:pPr>
      <w:r w:rsidRPr="00824A64">
        <w:rPr>
          <w:lang w:val="en-GB"/>
        </w:rPr>
        <w:t xml:space="preserve">In addition, the Indian Rebellion of 1857, which is traditionally portrayed as a 'Sepoy Mutiny' driven by religious and caste prejudices, has been reevaluated through a subaltern lens to consider the role of consciousness and agency of the Indian soldiers.  In postcolonial criticism, subaltern studies help to problematise and challenge the inherited assumptions and biases from colonial rule (Prakash, 1994). The stigma of ‘communalism’ in partition historiography, for instance, is critically revisited in Jalal's (1996) work. In the context of Mexican historiography, Knight (2002) provides a critique of subaltern studies, discussing how perspectives can be skewed and misrepresented through statistical analyses that fail to capture the complexity of subaltern experiences. Subaltern studies have also examined the role of peasants in politics and history-making, seeking to provide them with agency and disrupt the traditional narratives that portray them as passive victims. </w:t>
      </w:r>
    </w:p>
    <w:p w:rsidR="00824A64" w:rsidRPr="00824A64" w:rsidRDefault="00824A64" w:rsidP="00824A64">
      <w:pPr>
        <w:rPr>
          <w:b/>
        </w:rPr>
      </w:pPr>
      <w:r>
        <w:rPr>
          <w:b/>
        </w:rPr>
        <w:t xml:space="preserve">2.1. </w:t>
      </w:r>
      <w:r w:rsidRPr="00824A64">
        <w:rPr>
          <w:b/>
        </w:rPr>
        <w:t>Methodologies of Subaltern Historians and Impact of Subaltern Historiography</w:t>
      </w:r>
    </w:p>
    <w:p w:rsidR="00824A64" w:rsidRPr="00824A64" w:rsidRDefault="00824A64" w:rsidP="00824A64">
      <w:pPr>
        <w:rPr>
          <w:lang w:val="en-GB"/>
        </w:rPr>
      </w:pPr>
      <w:r w:rsidRPr="00824A64">
        <w:tab/>
      </w:r>
      <w:r w:rsidRPr="00824A64">
        <w:rPr>
          <w:lang w:val="en-GB"/>
        </w:rPr>
        <w:t>Subaltern Studies is a distinct approach to history that seeks to bring forward the perspectives and voices of the subaltern, or the marginalised and oppressed groups in society. This is often counter to dominant or elite narratives that have historically taken precedence in the study of history (Chakrabarty, 2000). Subaltern historians utilise several methodologies to uncover and interpret these perspectives. One of the fundamental methodologies is deconstruction, which aims to dismantle and critique dominant narratives. This technique challenges traditional interpretations and re-examines them from a subaltern perspective. Chakrabarty (2000) argues that the process of deconstruction requires historians to situate the subaltern at the center of the narrative, allowing their perspectives to shape the understanding of historical events. Another methodology employed by subaltern historians involves reinterpreting archival materials and conventional sources. Subaltern historians engage in a rigorous re-reading of these sources, seeking the "silences" or gaps that might indicate a subaltern presence that has been overlooked or intentionally ignored (Rodríguez, 1994; Perusek, 1993).</w:t>
      </w:r>
    </w:p>
    <w:p w:rsidR="00824A64" w:rsidRPr="00824A64" w:rsidRDefault="00824A64" w:rsidP="00824A64">
      <w:pPr>
        <w:ind w:firstLine="720"/>
        <w:rPr>
          <w:lang w:val="en-GB"/>
        </w:rPr>
      </w:pPr>
      <w:r w:rsidRPr="00824A64">
        <w:rPr>
          <w:lang w:val="en-GB"/>
        </w:rPr>
        <w:t>Oral histories, folklore, and other forms of non-traditional sources are also significant in subaltern historiography. This method helps subaltern historians bridge the gap that traditional historical methodologies often overlook, allowing for a fuller understanding of the subaltern experience (Roos, 2016; Egan, 2002). In some instances, subaltern historians explore a 'history from below' approach, focusing on the everyday experiences of marginalised groups and individuals, offering new insights and understandings about societal structures, and challenging elitist historiography. Subaltern Studies also takes a critical stance towards the use of statistics in historical analysis. Subaltern historians often argue that statistical analyses can reduce the complex experiences of subaltern groups to mere numbers, further marginalising their perspectives (Knight, 2002).</w:t>
      </w:r>
    </w:p>
    <w:p w:rsidR="00824A64" w:rsidRPr="00824A64" w:rsidRDefault="00824A64" w:rsidP="00824A64">
      <w:pPr>
        <w:ind w:firstLine="720"/>
        <w:rPr>
          <w:lang w:val="en-GB"/>
        </w:rPr>
      </w:pPr>
      <w:r w:rsidRPr="00824A64">
        <w:rPr>
          <w:lang w:val="en-GB"/>
        </w:rPr>
        <w:t xml:space="preserve">It's also worth noting that the subaltern approach has been subject to critique, particularly for its focus on the local and specific at the expense of broader social and political contexts (Sarkar, 2002). Despite this, subaltern historiography continues to challenge traditional perspectives and contribute to our understanding of the complexities of history. While each of these methods is </w:t>
      </w:r>
      <w:r w:rsidRPr="00824A64">
        <w:rPr>
          <w:lang w:val="en-GB"/>
        </w:rPr>
        <w:lastRenderedPageBreak/>
        <w:t>distinct, they all contribute to the overall goal of subaltern studies: to give voice to the marginalised and often silent participants in history, challenging dominant narratives, and contributing to a more comprehensive and inclusive understanding of the past. Subaltern historiography seeks to challenge dominant historical narratives and create space for marginalised voices. The endeavour often involves challenging the traditional ways of producing history, highlighting the importance of voices that have been silenced, ignored, or misrepresented in dominant narratives (Chakrabarty, 2000).</w:t>
      </w:r>
    </w:p>
    <w:p w:rsidR="00824A64" w:rsidRPr="00824A64" w:rsidRDefault="00824A64" w:rsidP="00824A64">
      <w:pPr>
        <w:ind w:firstLine="720"/>
        <w:rPr>
          <w:lang w:val="en-GB"/>
        </w:rPr>
      </w:pPr>
      <w:r w:rsidRPr="00824A64">
        <w:rPr>
          <w:lang w:val="en-GB"/>
        </w:rPr>
        <w:t xml:space="preserve">One of the key impacts of subaltern historiography has been its deconstruction of established historiographies. Spivak (2012) elaborates on this by pointing out how subaltern studies deconstruct historiography by focusing on the stories of those who have been marginalised, underrepresented, or misrepresented in traditional historical narratives. This approach not only challenges the dominant narratives but also calls into question the very methods and perspectives used in traditional history writing. For instance, the historiography of the Japanese empire was significantly impacted by subaltern studies which provided a new perspective on the study of empire, highlighting the experiences of individuals who were impacted by imperial rule rather than focusing solely on the imperial powers (Sand, 2014). Similarly, in the context of South African history, subaltern historiography has been instrumental in challenging dominant narratives and shedding light on the experiences and perspectives of marginalised communities. </w:t>
      </w:r>
    </w:p>
    <w:p w:rsidR="00824A64" w:rsidRPr="00824A64" w:rsidRDefault="00824A64" w:rsidP="00824A64">
      <w:pPr>
        <w:ind w:firstLine="720"/>
        <w:rPr>
          <w:lang w:val="en-GB"/>
        </w:rPr>
      </w:pPr>
      <w:r w:rsidRPr="00824A64">
        <w:rPr>
          <w:lang w:val="en-GB"/>
        </w:rPr>
        <w:t>Subaltern historiography has also been pivotal in redefining the understanding of significant historical events. For example, Perusek (1993) argues that subaltern consciousness greatly influenced the historiography of the Indian Rebellion of 1857 by focusing on the perspectives and experiences of the subaltern classes. Furthermore, it's important to note that subaltern historiography is not limited to challenging narratives about people; it can also challenge narratives about the environment. Egan (2002) points to "subaltern environmentalism" as a method of challenging dominant narratives about the environment in the United States, focusing on the perspectives of marginalised communities. However, subaltern historiography is not without its criticisms. Some scholars, such as Sarkar (2002), argue that the emphasis on subalternity in subaltern studies has declined over time, compromising the original intent and potential of the field. Kumar and Roy (2019) also argue that the approach should be positioned within a larger historical context, critiquing its sometimes limited scope.</w:t>
      </w:r>
    </w:p>
    <w:p w:rsidR="00824A64" w:rsidRPr="00824A64" w:rsidRDefault="00824A64" w:rsidP="00824A64">
      <w:pPr>
        <w:rPr>
          <w:b/>
        </w:rPr>
      </w:pPr>
      <w:r>
        <w:rPr>
          <w:b/>
        </w:rPr>
        <w:t xml:space="preserve">2.2. </w:t>
      </w:r>
      <w:r w:rsidRPr="00824A64">
        <w:rPr>
          <w:b/>
        </w:rPr>
        <w:t>Reshaping Historical Understanding and Criticisms of Subaltern Historiography</w:t>
      </w:r>
    </w:p>
    <w:p w:rsidR="00824A64" w:rsidRPr="00824A64" w:rsidRDefault="00824A64" w:rsidP="00824A64">
      <w:pPr>
        <w:ind w:firstLine="720"/>
        <w:rPr>
          <w:lang w:val="en-GB"/>
        </w:rPr>
      </w:pPr>
      <w:r w:rsidRPr="00824A64">
        <w:rPr>
          <w:lang w:val="en-GB"/>
        </w:rPr>
        <w:t xml:space="preserve">Subaltern historiography has significantly contributed to reshaping our understanding of key historical events, movements, and social structures. This is largely due to its focus on the perspectives of marginalised or subordinated groups that were previously overlooked or suppressed in mainstream historical narratives (Chakrabarty, 2000). One of the key ways subaltern historiography has reshaped understanding is through challenging dominant Eurocentric and elitist historical narratives. In the context of South Asian history, for instance, the Subaltern Studies Group has endeavoured to shed light on the perspectives and experiences of peasants and other marginalised groups (Chatterjee, 1983; Kumar &amp; Roy, 2019). Similarly, Rodríguez (1994) discusses the application of subaltern historiography to the history of the Rio Grande region, </w:t>
      </w:r>
      <w:r w:rsidRPr="00824A64">
        <w:rPr>
          <w:lang w:val="en-GB"/>
        </w:rPr>
        <w:lastRenderedPageBreak/>
        <w:t>highlighting its utility in surfacing the experiences of indigenous communities that were often overlooked in mainstream narratives.</w:t>
      </w:r>
    </w:p>
    <w:p w:rsidR="00824A64" w:rsidRPr="00824A64" w:rsidRDefault="00824A64" w:rsidP="00824A64">
      <w:pPr>
        <w:ind w:firstLine="720"/>
        <w:rPr>
          <w:lang w:val="en-GB"/>
        </w:rPr>
      </w:pPr>
      <w:r w:rsidRPr="00824A64">
        <w:rPr>
          <w:lang w:val="en-GB"/>
        </w:rPr>
        <w:t>Subaltern historiography also has implications for understanding social structures. In Roos (2016) examination of South African history, for example, the author argues for the use of subaltern historiography to radically rethink the history of "white folk" in South Africa, a perspective often unexplored in dominant narratives. This suggests that subaltern historiography can help not only to highlight marginalised voices but also to reevaluate dominant ones. The approach has also contributed to the reevaluation of major historical events. Perusek's (1993) analysis of the Indian Rebellion of 1857, for instance, explores the consciousness of the subaltern classes during the rebellion, significantly contributing to a more nuanced understanding of the event. Similarly, Jalal (1996) revisits the partition historiography through the lens of subaltern studies, providing a fresh interpretation of this significant historical event.</w:t>
      </w:r>
    </w:p>
    <w:p w:rsidR="00824A64" w:rsidRPr="00824A64" w:rsidRDefault="00824A64" w:rsidP="00824A64">
      <w:pPr>
        <w:ind w:firstLine="720"/>
        <w:rPr>
          <w:lang w:val="en-GB"/>
        </w:rPr>
      </w:pPr>
      <w:r>
        <w:rPr>
          <w:lang w:val="en-GB"/>
        </w:rPr>
        <w:t>Moreover, in analys</w:t>
      </w:r>
      <w:r w:rsidRPr="00824A64">
        <w:rPr>
          <w:lang w:val="en-GB"/>
        </w:rPr>
        <w:t>ing the historical narratives of environmental movements, subaltern historiography has revealed the significant roles that marginalised groups have played (Egan, 2002). This "subaltern environmentalism" has led to a more comprehensive understanding of environmental history in the United States, again demonstrating the potential of subaltern historiography to challenge and reshape conventional narratives.</w:t>
      </w:r>
    </w:p>
    <w:p w:rsidR="00824A64" w:rsidRPr="00824A64" w:rsidRDefault="00824A64" w:rsidP="00824A64">
      <w:pPr>
        <w:ind w:firstLine="720"/>
        <w:rPr>
          <w:lang w:val="en-GB"/>
        </w:rPr>
      </w:pPr>
      <w:r w:rsidRPr="00824A64">
        <w:rPr>
          <w:lang w:val="en-GB"/>
        </w:rPr>
        <w:t>However, it's important to note that while subaltern historiography has been instrumental in challenging dominant historical narratives, it has faced criticisms as well. Sarkar (2002) argues that subaltern studies has experienced a decline, especially with regards to its initial goals of giving voice to the subaltern. Prakash (1994) also critiques the approach as a form of postcolonial criticism, suggesting that it might not be entirely successful in escaping the pitfalls of traditional historiography. Subaltern historiography, pioneered by the Subaltern Studies Group, revolutionised the way scholars perceive history by focusing on those marginalised or oppressed in society. Yet, while this perspective has been praised for centering marginalised voices, it also faces several criticisms and limitations.</w:t>
      </w:r>
    </w:p>
    <w:p w:rsidR="00824A64" w:rsidRPr="00824A64" w:rsidRDefault="00824A64" w:rsidP="00824A64">
      <w:pPr>
        <w:ind w:firstLine="720"/>
        <w:rPr>
          <w:lang w:val="en-GB"/>
        </w:rPr>
      </w:pPr>
      <w:r w:rsidRPr="00824A64">
        <w:rPr>
          <w:lang w:val="en-GB"/>
        </w:rPr>
        <w:t>One major limitation of subaltern historiography is its perceived essentialism. Some critics argue that this approach tends to homogenise the 'subaltern,' without accounting for significant differences within subaltern groups based on gender, caste, religion, region, and so forth (Chakrabarty, 2000). This broad categorization can result in a lack of nuance in understanding the experiences and struggles of distinct subaltern groups (Chatterjee, 1983).</w:t>
      </w:r>
    </w:p>
    <w:p w:rsidR="00824A64" w:rsidRPr="00824A64" w:rsidRDefault="00824A64" w:rsidP="00824A64">
      <w:pPr>
        <w:ind w:firstLine="720"/>
        <w:rPr>
          <w:lang w:val="en-GB"/>
        </w:rPr>
      </w:pPr>
      <w:r w:rsidRPr="00824A64">
        <w:rPr>
          <w:lang w:val="en-GB"/>
        </w:rPr>
        <w:t xml:space="preserve">Another critique concerns the accessibility and representativeness of subaltern voices. Spivak (2012) famously questioned, "Can the subaltern speak?" Here, she points to the inherent difficulty in retrieving the subaltern's authentic voice, as the subaltern often lacks the means to record their experiences. This challenge raises the question of who is representing the subaltern and whether their interpretations are authentic or influenced by their own biases and perspectives. The overemphasis on the local, another critique, can risk overshadowing the role of larger structures and systems in shaping subaltern lives (Sand, 2014). While it's important to highlight local experiences and resistances, understanding systemic forces is crucial for a comprehensive historical analysis. Subaltern historiography has also been critiqued for its postcolonial focus. Critics argue that it tends to view history mainly through the lens of colonial oppression, thereby obscuring other forms of </w:t>
      </w:r>
      <w:r w:rsidRPr="00824A64">
        <w:rPr>
          <w:lang w:val="en-GB"/>
        </w:rPr>
        <w:lastRenderedPageBreak/>
        <w:t xml:space="preserve">exploitation and subalternity. Moreover, its heavy reliance on poststructuralist and postmodern theories may make it inaccessible to many readers. </w:t>
      </w:r>
    </w:p>
    <w:p w:rsidR="00824A64" w:rsidRPr="00824A64" w:rsidRDefault="00824A64" w:rsidP="00824A64">
      <w:pPr>
        <w:ind w:firstLine="720"/>
        <w:rPr>
          <w:lang w:val="en-GB"/>
        </w:rPr>
      </w:pPr>
      <w:r w:rsidRPr="00824A64">
        <w:rPr>
          <w:lang w:val="en-GB"/>
        </w:rPr>
        <w:t>Subaltern historiograph</w:t>
      </w:r>
      <w:r>
        <w:rPr>
          <w:lang w:val="en-GB"/>
        </w:rPr>
        <w:t>y is often accused of romanticis</w:t>
      </w:r>
      <w:r w:rsidRPr="00824A64">
        <w:rPr>
          <w:lang w:val="en-GB"/>
        </w:rPr>
        <w:t xml:space="preserve">ing resistance. While it's crucial to acknowledge subaltern resistance, the tendency to view any action by the subaltern as resistance can oversimplify complex human behaviours. Furthermore, not all subaltern actions are liberatory or progressive; some might align with oppressive structures, complicating the resistance narrative. Despite these limitations, it's important to remember that subaltern historiography emerged as a corrective to elite-focused history, aiming to ensure that the silenced, the marginalised, and the oppressed are heard in the annals of history. Its goal was not to replace but to supplement and challenge traditional historiography (Currie, 1995). The criticisms raised offer opportunities for further refinement and development of this crucial perspective in historiography. </w:t>
      </w:r>
    </w:p>
    <w:p w:rsidR="00824A64" w:rsidRPr="00824A64" w:rsidRDefault="00824A64" w:rsidP="00824A64">
      <w:pPr>
        <w:rPr>
          <w:b/>
        </w:rPr>
      </w:pPr>
      <w:r>
        <w:rPr>
          <w:b/>
        </w:rPr>
        <w:t xml:space="preserve">2.3. </w:t>
      </w:r>
      <w:r w:rsidRPr="00824A64">
        <w:rPr>
          <w:b/>
        </w:rPr>
        <w:t>Role of Subaltern Historiography and Integration in Mainstream Discourse</w:t>
      </w:r>
    </w:p>
    <w:p w:rsidR="00824A64" w:rsidRPr="00824A64" w:rsidRDefault="00824A64" w:rsidP="00824A64">
      <w:pPr>
        <w:ind w:firstLine="720"/>
        <w:rPr>
          <w:lang w:val="en-GB"/>
        </w:rPr>
      </w:pPr>
      <w:r w:rsidRPr="00824A64">
        <w:rPr>
          <w:lang w:val="en-GB"/>
        </w:rPr>
        <w:t>Subaltern historiography, as an approach to writing history from the perspectives of the marginalised or subjugated groups, serves a critical role in fostering social justice, inclusivity, and equality within historical scholarship. This methodology is based on the premise that mainstream or conventional historiography has often marginalised or ignored the histories and narratives of certain groups—particularly those who were not part of the ruling or elite class (Chakrabarty, 2000). Subaltern historiography contributes to social justice by highlighting the struggles, resistance, and experiences of those who have been historically oppressed or marginalised. For instance, Rodríguez's (1994) exploration of subaltern historiography in the context of the Rio Grande underscores the value of indigenous narratives in understanding historical processes. Similarly, Perusek's (1993) study of the 1857 Indian Rebellion depicts a powerful example of a marginalised group asserting its agency and contesting oppressive forces.</w:t>
      </w:r>
    </w:p>
    <w:p w:rsidR="00824A64" w:rsidRPr="00824A64" w:rsidRDefault="00824A64" w:rsidP="00824A64">
      <w:pPr>
        <w:ind w:firstLine="720"/>
        <w:rPr>
          <w:lang w:val="en-GB"/>
        </w:rPr>
      </w:pPr>
      <w:r w:rsidRPr="00824A64">
        <w:rPr>
          <w:lang w:val="en-GB"/>
        </w:rPr>
        <w:t>Subaltern historiography further p</w:t>
      </w:r>
      <w:r>
        <w:rPr>
          <w:lang w:val="en-GB"/>
        </w:rPr>
        <w:t>romotes inclusivity by legitimis</w:t>
      </w:r>
      <w:r w:rsidRPr="00824A64">
        <w:rPr>
          <w:lang w:val="en-GB"/>
        </w:rPr>
        <w:t xml:space="preserve">ing and valuing diverse historical narratives. For instance, Roos (2016) points to the utility of subaltern historiography in understanding the complexities of South African history, illustrating that the histories of all peoples, irrespective of their societal position, are integral to a comprehensive understanding of the past. Egan (2002) illustrates this idea in the context of environmental history, highlighting how the perspectives and experiences of marginalised groups provide a more nuanced understanding of environmental issues and actions. Subaltern historiography contributes to equality by challenging Eurocentric, elitist, and Western-oriented perspectives that have historically dominated the discipline (Currie, 1995). By bringing the subalterns—those who were often seen as passive or voiceless—into the focus of historical research, subaltern studies challenge hierarchical interpretations of the past and offer a more egalitarian perspective on historical processes (Kumar &amp; Roy, 2019). However, it's important to note that while subaltern historiography has made significant strides in promoting social justice, inclusivity, and equality, some scholars argue that it has experienced a decline, shifting away from its initial objective of voicing the subalterns (Sarkar, 2002). This tension suggests that while subaltern historiography provides a valuable framework for inclusive and egalitarian historical scholarship, it must continually evolve to ensure that it adequately represents and champions marginalised voices. Subaltern historiography, born out of a critique of 'elite' history, attempts to elevate the voices of those marginalised or silenced in </w:t>
      </w:r>
      <w:r w:rsidRPr="00824A64">
        <w:rPr>
          <w:lang w:val="en-GB"/>
        </w:rPr>
        <w:lastRenderedPageBreak/>
        <w:t>mainstream narratives, such as the poor, women, and colonised peoples (Chakrabarty, 2000; Spivak, 2012). The Subaltern Studies project, initiated by Ranajit Guha, sparked interest in these non-elite perspectives, and scholars have endeavoured to illuminate the power dynamics embedded in traditional historical.</w:t>
      </w:r>
    </w:p>
    <w:p w:rsidR="00824A64" w:rsidRPr="00824A64" w:rsidRDefault="00824A64" w:rsidP="00824A64">
      <w:pPr>
        <w:ind w:firstLine="720"/>
        <w:rPr>
          <w:lang w:val="en-GB"/>
        </w:rPr>
      </w:pPr>
      <w:r w:rsidRPr="00824A64">
        <w:rPr>
          <w:lang w:val="en-GB"/>
        </w:rPr>
        <w:t>However, the integration of subaltern historiography into mainstream historical discourse is complex and fraught with challenges. Mainstream history, characterised by a focus on powerful political figures and events, can be resistant to the inclusion of marginalised voices. This resistance is partly due to the different methodologies used in subaltern studies, which challenge the traditional standards of historical evidence and truth (Rodríguez, 1994; Egan, 2002). Some critics have argued that subaltern historiography may inadvertently reinforce the marginalisation it seeks to counter. Sarkar (2002) suggests that by focusing solely on the oppressed, subaltern studies can risk further othering these groups and perpetuating dichotomies. This critique echoes the concept of 'subaltern imperialists', which problematises the homogenisation of the subaltern as perpetually victimised (Sand, 2014).</w:t>
      </w:r>
    </w:p>
    <w:p w:rsidR="00824A64" w:rsidRPr="00824A64" w:rsidRDefault="00824A64" w:rsidP="00824A64">
      <w:pPr>
        <w:ind w:firstLine="720"/>
        <w:rPr>
          <w:lang w:val="en-GB"/>
        </w:rPr>
      </w:pPr>
      <w:r w:rsidRPr="00824A64">
        <w:rPr>
          <w:lang w:val="en-GB"/>
        </w:rPr>
        <w:t xml:space="preserve">Moreover, the theoretical frameworks employed in subaltern studies, particularly postcolonial and Marxist theories, have met with controversy. Some scholars have accused the subaltern project of fostering a radical, ideological bent that obstructs balanced historical analysis. Others argue that it has not sufficiently deconstructed the Western-centric perspective it purports to critique, which can lead to the distortion or oversimplification of non-Western histories (Prakash, 1994; Chatterjee, 1983). Nevertheless, subaltern historiography has made significant inroads into mainstream historical discourse. It has influenced various regional historiographies, as evidenced in the historical narratives of India, Mexico, Japan, and South Africa, among others. It has informed new approaches to environmental history, examining the relationship between marginalised communities and their environment. </w:t>
      </w:r>
    </w:p>
    <w:p w:rsidR="00824A64" w:rsidRDefault="00824A64" w:rsidP="00824A64">
      <w:pPr>
        <w:rPr>
          <w:b/>
        </w:rPr>
      </w:pPr>
    </w:p>
    <w:p w:rsidR="00824A64" w:rsidRPr="00824A64" w:rsidRDefault="00824A64" w:rsidP="00824A64">
      <w:pPr>
        <w:rPr>
          <w:b/>
        </w:rPr>
      </w:pPr>
      <w:r w:rsidRPr="00824A64">
        <w:rPr>
          <w:b/>
        </w:rPr>
        <w:t>CONCLUSION</w:t>
      </w:r>
    </w:p>
    <w:p w:rsidR="00824A64" w:rsidRPr="00824A64" w:rsidRDefault="00824A64" w:rsidP="00824A64">
      <w:pPr>
        <w:ind w:firstLine="720"/>
      </w:pPr>
      <w:r w:rsidRPr="00824A64">
        <w:t>The study explores the immense significance of subaltern historiography in reshaping historical narratives. The research findings demonstrate that subaltern historiography offers a powerful tool for challenging dominant narratives, amplifying marginalised voices, and promoting social justice within historical scholarship. By critically examining the theoretical foundations and methodologies of subaltern historiography, this study has underscored its transformative potential in creating a more comprehensive and accurate representation of history. The integration of subaltern perspectives in historical research and education is crucial for fostering inclusivity and ensuring a more equitable understanding of the past. Moving forward, it is essential for historians and scholars to continue embracing subaltern historiography as a means to break the silence surrounding marginalised communities, acknowledge their contributions, and pave the way for a more nuanced and inclusive portrayal of our collective history.</w:t>
      </w:r>
    </w:p>
    <w:p w:rsidR="00824A64" w:rsidRDefault="00824A64" w:rsidP="00824A64">
      <w:pPr>
        <w:rPr>
          <w:b/>
          <w:sz w:val="26"/>
        </w:rPr>
      </w:pPr>
    </w:p>
    <w:p w:rsidR="00824A64" w:rsidRPr="00824A64" w:rsidRDefault="00824A64" w:rsidP="00824A64">
      <w:pPr>
        <w:rPr>
          <w:b/>
          <w:sz w:val="26"/>
        </w:rPr>
      </w:pPr>
      <w:r w:rsidRPr="00824A64">
        <w:rPr>
          <w:b/>
          <w:sz w:val="26"/>
        </w:rPr>
        <w:t>Acknowledgement</w:t>
      </w:r>
    </w:p>
    <w:p w:rsidR="00824A64" w:rsidRPr="00824A64" w:rsidRDefault="00824A64" w:rsidP="00824A64">
      <w:pPr>
        <w:ind w:firstLine="720"/>
      </w:pPr>
      <w:r w:rsidRPr="00824A64">
        <w:t xml:space="preserve">I sincerely thank my mentor for their invaluable guidance and encouragement. Gratitude to my family for their unwavering support and patience. Acknowledgement is also due to my peers for </w:t>
      </w:r>
      <w:r w:rsidRPr="00824A64">
        <w:lastRenderedPageBreak/>
        <w:t>their constructive insights. Finally, I appreciate the institution for providing the necessary resources for my work.</w:t>
      </w:r>
    </w:p>
    <w:p w:rsidR="00824A64" w:rsidRPr="00824A64" w:rsidRDefault="00824A64" w:rsidP="00824A64">
      <w:pPr>
        <w:rPr>
          <w:b/>
        </w:rPr>
      </w:pPr>
    </w:p>
    <w:p w:rsidR="00824A64" w:rsidRPr="00824A64" w:rsidRDefault="00824A64" w:rsidP="00824A64">
      <w:pPr>
        <w:rPr>
          <w:b/>
          <w:sz w:val="26"/>
        </w:rPr>
      </w:pPr>
      <w:r w:rsidRPr="00824A64">
        <w:rPr>
          <w:b/>
          <w:sz w:val="26"/>
        </w:rPr>
        <w:t>Conflict of Interest and Funding</w:t>
      </w:r>
    </w:p>
    <w:p w:rsidR="00824A64" w:rsidRPr="00824A64" w:rsidRDefault="00824A64" w:rsidP="00824A64">
      <w:pPr>
        <w:ind w:firstLine="720"/>
      </w:pPr>
      <w:r w:rsidRPr="00824A64">
        <w:t>The authors declare no financial or personal relations</w:t>
      </w:r>
      <w:r>
        <w:t>hips with individuals or organis</w:t>
      </w:r>
      <w:r w:rsidRPr="00824A64">
        <w:t>ations that could influence the presented work's outcome.</w:t>
      </w:r>
    </w:p>
    <w:p w:rsidR="00824A64" w:rsidRDefault="00824A64" w:rsidP="00824A64">
      <w:pPr>
        <w:rPr>
          <w:b/>
        </w:rPr>
      </w:pPr>
    </w:p>
    <w:p w:rsidR="00824A64" w:rsidRPr="00824A64" w:rsidRDefault="00824A64" w:rsidP="00824A64">
      <w:pPr>
        <w:rPr>
          <w:b/>
          <w:sz w:val="26"/>
        </w:rPr>
      </w:pPr>
      <w:r w:rsidRPr="00824A64">
        <w:rPr>
          <w:b/>
          <w:sz w:val="26"/>
        </w:rPr>
        <w:t>REFERENCES</w:t>
      </w:r>
    </w:p>
    <w:p w:rsidR="00824A64" w:rsidRPr="00824A64" w:rsidRDefault="00824A64" w:rsidP="00824A64">
      <w:pPr>
        <w:ind w:left="720" w:hanging="720"/>
        <w:rPr>
          <w:lang w:val="en-GB"/>
        </w:rPr>
      </w:pPr>
      <w:r w:rsidRPr="00824A64">
        <w:rPr>
          <w:lang w:val="en-GB"/>
        </w:rPr>
        <w:t>Chakrabarty, D. (2000). A small history of subaltern studies. In H. Schwarz &amp; S. Ray (Eds.), A companion to postcolonial studies, Blackwell Publishing.</w:t>
      </w:r>
    </w:p>
    <w:p w:rsidR="00824A64" w:rsidRPr="00824A64" w:rsidRDefault="00824A64" w:rsidP="00824A64">
      <w:pPr>
        <w:ind w:left="720" w:hanging="720"/>
        <w:rPr>
          <w:lang w:val="en-GB"/>
        </w:rPr>
      </w:pPr>
      <w:r w:rsidRPr="00824A64">
        <w:rPr>
          <w:lang w:val="en-GB"/>
        </w:rPr>
        <w:t>Chakrabarty, D. (2000). Subaltern studies and postcolonial historiography. Nepantla: Views from South, 1(1), 9-32.</w:t>
      </w:r>
    </w:p>
    <w:p w:rsidR="00824A64" w:rsidRPr="00824A64" w:rsidRDefault="00824A64" w:rsidP="00824A64">
      <w:pPr>
        <w:ind w:left="720" w:hanging="720"/>
        <w:rPr>
          <w:lang w:val="en-GB"/>
        </w:rPr>
      </w:pPr>
      <w:r w:rsidRPr="00824A64">
        <w:rPr>
          <w:lang w:val="en-GB"/>
        </w:rPr>
        <w:t>Chatterjee, P. (1983). Peasants, politics and historiography: A response. Social Scientist, 11(5), 58-65.</w:t>
      </w:r>
    </w:p>
    <w:p w:rsidR="00824A64" w:rsidRPr="00824A64" w:rsidRDefault="00824A64" w:rsidP="00824A64">
      <w:pPr>
        <w:ind w:left="720" w:hanging="720"/>
        <w:rPr>
          <w:lang w:val="en-GB"/>
        </w:rPr>
      </w:pPr>
      <w:r w:rsidRPr="00824A64">
        <w:rPr>
          <w:lang w:val="en-GB"/>
        </w:rPr>
        <w:t>Currie, K. (1995). Review essay: The challenge to orientalist, elitist, and western historiography: Notes on the "subaltern project" 1982-1989. Dialectical Anthropology, 20(2), 219-246.</w:t>
      </w:r>
    </w:p>
    <w:p w:rsidR="00824A64" w:rsidRPr="00824A64" w:rsidRDefault="00824A64" w:rsidP="00824A64">
      <w:pPr>
        <w:ind w:left="720" w:hanging="720"/>
        <w:rPr>
          <w:lang w:val="en-GB"/>
        </w:rPr>
      </w:pPr>
      <w:r w:rsidRPr="00824A64">
        <w:rPr>
          <w:lang w:val="en-GB"/>
        </w:rPr>
        <w:t>Egan, M. (2002). Subaltern environmentalism in the United States: A historiographic review. Environment and History, 8(1), 21-41.</w:t>
      </w:r>
    </w:p>
    <w:p w:rsidR="00824A64" w:rsidRPr="00824A64" w:rsidRDefault="00824A64" w:rsidP="00824A64">
      <w:pPr>
        <w:ind w:left="720" w:hanging="720"/>
        <w:rPr>
          <w:lang w:val="en-GB"/>
        </w:rPr>
      </w:pPr>
      <w:r w:rsidRPr="00824A64">
        <w:rPr>
          <w:lang w:val="en-GB"/>
        </w:rPr>
        <w:t>Jalal, A. (1996). Secularists, subalterns and the stigma of ‘communalism’: Partition historiography revisited. Modern Asian Studies, 30(3), 681-689.</w:t>
      </w:r>
    </w:p>
    <w:p w:rsidR="00824A64" w:rsidRPr="00824A64" w:rsidRDefault="00824A64" w:rsidP="00824A64">
      <w:pPr>
        <w:ind w:left="720" w:hanging="720"/>
        <w:rPr>
          <w:lang w:val="en-GB"/>
        </w:rPr>
      </w:pPr>
      <w:r w:rsidRPr="00824A64">
        <w:rPr>
          <w:lang w:val="en-GB"/>
        </w:rPr>
        <w:t>Knight, A. (2002). Subalterns, signifiers, and statistics: Perspectives on Mexican historiography. Latin American Research Review, 37(2), 136-158.</w:t>
      </w:r>
    </w:p>
    <w:p w:rsidR="00824A64" w:rsidRPr="00824A64" w:rsidRDefault="00824A64" w:rsidP="00824A64">
      <w:pPr>
        <w:ind w:left="720" w:hanging="720"/>
        <w:rPr>
          <w:lang w:val="en-GB"/>
        </w:rPr>
      </w:pPr>
      <w:r w:rsidRPr="00824A64">
        <w:rPr>
          <w:lang w:val="en-GB"/>
        </w:rPr>
        <w:t>Kumar, M., &amp; Roy, A. (2019). Before Subaltern Studies. In T. J. Barnes &amp; A. Sheppard (Eds.), Subaltern Geographies, University of Georgia Press.</w:t>
      </w:r>
    </w:p>
    <w:p w:rsidR="00824A64" w:rsidRPr="00824A64" w:rsidRDefault="00824A64" w:rsidP="00824A64">
      <w:pPr>
        <w:ind w:left="720" w:hanging="720"/>
        <w:rPr>
          <w:lang w:val="en-GB"/>
        </w:rPr>
      </w:pPr>
      <w:r w:rsidRPr="00824A64">
        <w:rPr>
          <w:lang w:val="en-GB"/>
        </w:rPr>
        <w:t>Perusek, D. (1993). Subaltern consciousness and Historiography of Indian Rebellion of 1857. Economic and Political Weekly, 1931-1936.</w:t>
      </w:r>
    </w:p>
    <w:p w:rsidR="00824A64" w:rsidRPr="00824A64" w:rsidRDefault="00824A64" w:rsidP="00824A64">
      <w:pPr>
        <w:ind w:left="720" w:hanging="720"/>
        <w:rPr>
          <w:lang w:val="en-GB"/>
        </w:rPr>
      </w:pPr>
      <w:r w:rsidRPr="00824A64">
        <w:rPr>
          <w:lang w:val="en-GB"/>
        </w:rPr>
        <w:t>Prakash, G. (1994). Subaltern studies as postcolonial criticism. The American Historical Review, 99(5), 1475-1490.</w:t>
      </w:r>
    </w:p>
    <w:p w:rsidR="00824A64" w:rsidRPr="00824A64" w:rsidRDefault="00824A64" w:rsidP="00824A64">
      <w:pPr>
        <w:ind w:left="720" w:hanging="720"/>
        <w:rPr>
          <w:lang w:val="en-GB"/>
        </w:rPr>
      </w:pPr>
      <w:r w:rsidRPr="00824A64">
        <w:rPr>
          <w:lang w:val="en-GB"/>
        </w:rPr>
        <w:t>Rodríguez, S. (1994). Subaltern Historiography on the Rio Grande: On Gutiérrez's "When Jesus Came, the Corn Mothers Went Away." [Review of the book When Jesus came, the corn mothers went away: Marriage, sexuality, and power in New Mexico, 1500-1846, by R. Gutiérrez].</w:t>
      </w:r>
    </w:p>
    <w:p w:rsidR="00824A64" w:rsidRPr="00824A64" w:rsidRDefault="00824A64" w:rsidP="00824A64">
      <w:pPr>
        <w:ind w:left="720" w:hanging="720"/>
        <w:rPr>
          <w:lang w:val="en-GB"/>
        </w:rPr>
      </w:pPr>
      <w:r w:rsidRPr="00824A64">
        <w:rPr>
          <w:lang w:val="en-GB"/>
        </w:rPr>
        <w:t>Roos, N. (2016). South African History and Subaltern Historiography: Ideas for a Radical History of White Folk. International Review of Social History, 61(1), 117-150.</w:t>
      </w:r>
    </w:p>
    <w:p w:rsidR="00824A64" w:rsidRPr="00824A64" w:rsidRDefault="00824A64" w:rsidP="00824A64">
      <w:pPr>
        <w:ind w:left="720" w:hanging="720"/>
        <w:rPr>
          <w:lang w:val="en-GB"/>
        </w:rPr>
      </w:pPr>
      <w:r w:rsidRPr="00824A64">
        <w:rPr>
          <w:lang w:val="en-GB"/>
        </w:rPr>
        <w:t>Sand, J. (2014). Subaltern imperialists: the new historiography of the Japanese empire. Past &amp; Present, 225(1), 273-288.</w:t>
      </w:r>
    </w:p>
    <w:p w:rsidR="00824A64" w:rsidRPr="00824A64" w:rsidRDefault="00824A64" w:rsidP="00824A64">
      <w:pPr>
        <w:ind w:left="720" w:hanging="720"/>
        <w:rPr>
          <w:lang w:val="en-GB"/>
        </w:rPr>
      </w:pPr>
      <w:r w:rsidRPr="00824A64">
        <w:rPr>
          <w:lang w:val="en-GB"/>
        </w:rPr>
        <w:t>Sarkar, S. (2002). The decline of the subaltern in subaltern studies. In D. Ludden (Ed.), Reading subaltern studies: Critical history, contested meaning and the globalization of South Asia (pp. 400-429). Permanent Black.</w:t>
      </w:r>
    </w:p>
    <w:p w:rsidR="004158A6" w:rsidRPr="00196202" w:rsidRDefault="00824A64" w:rsidP="00196202">
      <w:pPr>
        <w:ind w:left="720" w:hanging="720"/>
        <w:rPr>
          <w:lang w:val="en-GB"/>
        </w:rPr>
      </w:pPr>
      <w:r w:rsidRPr="00824A64">
        <w:rPr>
          <w:lang w:val="en-GB"/>
        </w:rPr>
        <w:t>Spivak, G. C. (2012). Subaltern studies: Deconstructing historiography. In G. C. Spivak, In other worlds: Essays in cultural politics, Routledge.</w:t>
      </w:r>
    </w:p>
    <w:sectPr w:rsidR="004158A6" w:rsidRPr="00196202" w:rsidSect="002A3AE7">
      <w:headerReference w:type="default" r:id="rId1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8DF" w:rsidRDefault="001808DF" w:rsidP="006A4DD8">
      <w:pPr>
        <w:spacing w:line="240" w:lineRule="auto"/>
      </w:pPr>
      <w:r>
        <w:separator/>
      </w:r>
    </w:p>
  </w:endnote>
  <w:endnote w:type="continuationSeparator" w:id="1">
    <w:p w:rsidR="001808DF" w:rsidRDefault="001808DF" w:rsidP="006A4DD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1" w:rsidRPr="00B20591" w:rsidRDefault="00831DAB" w:rsidP="00B20591">
    <w:pPr>
      <w:pStyle w:val="Footer"/>
      <w:rPr>
        <w:noProof/>
        <w:sz w:val="22"/>
        <w:lang w:eastAsia="en-GB"/>
      </w:rPr>
    </w:pPr>
    <w:r>
      <w:rPr>
        <w:noProof/>
        <w:sz w:val="22"/>
        <w:lang w:val="en-GB" w:eastAsia="en-GB"/>
      </w:rPr>
      <w:pict>
        <v:shapetype id="_x0000_t32" coordsize="21600,21600" o:spt="32" o:oned="t" path="m,l21600,21600e" filled="f">
          <v:path arrowok="t" fillok="f" o:connecttype="none"/>
          <o:lock v:ext="edit" shapetype="t"/>
        </v:shapetype>
        <v:shape id="_x0000_s2064" type="#_x0000_t32" style="position:absolute;left:0;text-align:left;margin-left:.35pt;margin-top:3.85pt;width:480.9pt;height:0;z-index:251678720" o:connectortype="straight" strokeweight="1.5pt"/>
      </w:pict>
    </w:r>
  </w:p>
  <w:p w:rsidR="006A4DD8" w:rsidRPr="00B20591" w:rsidRDefault="00831DAB" w:rsidP="00B20591">
    <w:pPr>
      <w:pStyle w:val="Footer"/>
      <w:rPr>
        <w:noProof/>
        <w:sz w:val="22"/>
        <w:lang w:eastAsia="en-GB"/>
      </w:rPr>
    </w:pPr>
    <w:r>
      <w:rPr>
        <w:noProof/>
        <w:sz w:val="22"/>
        <w:lang w:val="en-GB" w:eastAsia="en-GB"/>
      </w:rPr>
      <w:pict>
        <v:shapetype id="_x0000_t202" coordsize="21600,21600" o:spt="202" path="m,l,21600r21600,l21600,xe">
          <v:stroke joinstyle="miter"/>
          <v:path gradientshapeok="t" o:connecttype="rect"/>
        </v:shapetype>
        <v:shape id="_x0000_s2065" type="#_x0000_t202" style="position:absolute;left:0;text-align:left;margin-left:413.2pt;margin-top:13.15pt;width:86.95pt;height:26.5pt;z-index:251679744" filled="f" stroked="f">
          <v:textbox style="mso-next-textbox:#_x0000_s2065">
            <w:txbxContent>
              <w:p w:rsidR="00B20591" w:rsidRPr="000C7F51" w:rsidRDefault="00B20591" w:rsidP="00B20591">
                <w:pPr>
                  <w:rPr>
                    <w:sz w:val="20"/>
                  </w:rPr>
                </w:pPr>
                <w:r w:rsidRPr="000C7F51">
                  <w:rPr>
                    <w:color w:val="7F7F7F" w:themeColor="background1" w:themeShade="7F"/>
                    <w:spacing w:val="60"/>
                    <w:sz w:val="20"/>
                  </w:rPr>
                  <w:t>Page</w:t>
                </w:r>
                <w:r w:rsidRPr="000C7F51">
                  <w:rPr>
                    <w:sz w:val="20"/>
                  </w:rPr>
                  <w:t xml:space="preserve"> | </w:t>
                </w:r>
                <w:r w:rsidR="00831DAB" w:rsidRPr="000C7F51">
                  <w:rPr>
                    <w:sz w:val="20"/>
                  </w:rPr>
                  <w:fldChar w:fldCharType="begin"/>
                </w:r>
                <w:r w:rsidRPr="000C7F51">
                  <w:rPr>
                    <w:sz w:val="20"/>
                  </w:rPr>
                  <w:instrText xml:space="preserve"> PAGE   \* MERGEFORMAT </w:instrText>
                </w:r>
                <w:r w:rsidR="00831DAB" w:rsidRPr="000C7F51">
                  <w:rPr>
                    <w:sz w:val="20"/>
                  </w:rPr>
                  <w:fldChar w:fldCharType="separate"/>
                </w:r>
                <w:r w:rsidR="00966BA7" w:rsidRPr="00966BA7">
                  <w:rPr>
                    <w:b/>
                    <w:noProof/>
                    <w:sz w:val="20"/>
                  </w:rPr>
                  <w:t>1</w:t>
                </w:r>
                <w:r w:rsidR="00831DAB" w:rsidRPr="000C7F51">
                  <w:rPr>
                    <w:sz w:val="20"/>
                  </w:rPr>
                  <w:fldChar w:fldCharType="end"/>
                </w:r>
              </w:p>
            </w:txbxContent>
          </v:textbox>
        </v:shape>
      </w:pict>
    </w:r>
    <w:r w:rsidR="00B20591" w:rsidRPr="00B20591">
      <w:rPr>
        <w:noProof/>
        <w:sz w:val="22"/>
        <w:lang w:val="en-GB" w:eastAsia="en-GB"/>
      </w:rPr>
      <w:t xml:space="preserve">© 2023 The Authors, Published by (PHJSSH). This is an Open Access Article under the Creative Common Attribution Non-Commercial 4.0 </w:t>
    </w:r>
    <w:r w:rsidR="00B20591" w:rsidRPr="00B20591">
      <w:rPr>
        <w:noProof/>
        <w:sz w:val="22"/>
        <w:lang w:eastAsia="en-GB"/>
      </w:rPr>
      <w:t>(</w:t>
    </w:r>
    <w:hyperlink r:id="rId1" w:history="1">
      <w:r w:rsidR="00B20591" w:rsidRPr="00B20591">
        <w:rPr>
          <w:rStyle w:val="Hyperlink"/>
          <w:noProof/>
          <w:sz w:val="22"/>
          <w:lang w:eastAsia="en-GB"/>
        </w:rPr>
        <w:t>http://creativecommons.org/licenses/by/4.0/</w:t>
      </w:r>
    </w:hyperlink>
    <w:r w:rsidR="00B20591" w:rsidRPr="00B20591">
      <w:rPr>
        <w:noProof/>
        <w:sz w:val="22"/>
        <w:lang w:eastAsia="en-GB"/>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8DF" w:rsidRDefault="001808DF" w:rsidP="006A4DD8">
      <w:pPr>
        <w:spacing w:line="240" w:lineRule="auto"/>
      </w:pPr>
      <w:r>
        <w:separator/>
      </w:r>
    </w:p>
  </w:footnote>
  <w:footnote w:type="continuationSeparator" w:id="1">
    <w:p w:rsidR="001808DF" w:rsidRDefault="001808DF" w:rsidP="006A4DD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10F" w:rsidRDefault="00966BA7">
    <w:pPr>
      <w:pStyle w:val="Header"/>
    </w:pPr>
    <w:r>
      <w:rPr>
        <w:noProof/>
        <w:lang w:val="en-GB" w:eastAsia="en-GB"/>
      </w:rPr>
      <w:drawing>
        <wp:anchor distT="0" distB="0" distL="114300" distR="114300" simplePos="0" relativeHeight="251681792" behindDoc="0" locked="0" layoutInCell="1" allowOverlap="1">
          <wp:simplePos x="0" y="0"/>
          <wp:positionH relativeFrom="column">
            <wp:posOffset>5376470</wp:posOffset>
          </wp:positionH>
          <wp:positionV relativeFrom="paragraph">
            <wp:posOffset>35559</wp:posOffset>
          </wp:positionV>
          <wp:extent cx="732865" cy="1038225"/>
          <wp:effectExtent l="19050" t="0" r="0" b="0"/>
          <wp:wrapNone/>
          <wp:docPr id="44" name="Picture 44" descr="C:\Users\HISTORIAN\Desktop\JOURNALS\PRismatic\Cover Page 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ISTORIAN\Desktop\JOURNALS\PRismatic\Cover Page PH.jpg"/>
                  <pic:cNvPicPr>
                    <a:picLocks noChangeAspect="1" noChangeArrowheads="1"/>
                  </pic:cNvPicPr>
                </pic:nvPicPr>
                <pic:blipFill>
                  <a:blip r:embed="rId1"/>
                  <a:srcRect/>
                  <a:stretch>
                    <a:fillRect/>
                  </a:stretch>
                </pic:blipFill>
                <pic:spPr bwMode="auto">
                  <a:xfrm>
                    <a:off x="0" y="0"/>
                    <a:ext cx="732865" cy="1038225"/>
                  </a:xfrm>
                  <a:prstGeom prst="rect">
                    <a:avLst/>
                  </a:prstGeom>
                  <a:noFill/>
                  <a:ln w="9525">
                    <a:noFill/>
                    <a:miter lim="800000"/>
                    <a:headEnd/>
                    <a:tailEnd/>
                  </a:ln>
                </pic:spPr>
              </pic:pic>
            </a:graphicData>
          </a:graphic>
        </wp:anchor>
      </w:drawing>
    </w:r>
    <w:r w:rsidR="00D741CE">
      <w:rPr>
        <w:noProof/>
        <w:lang w:val="en-GB" w:eastAsia="en-GB"/>
      </w:rPr>
      <w:drawing>
        <wp:anchor distT="0" distB="0" distL="114300" distR="114300" simplePos="0" relativeHeight="251672576" behindDoc="0" locked="0" layoutInCell="1" allowOverlap="1">
          <wp:simplePos x="0" y="0"/>
          <wp:positionH relativeFrom="column">
            <wp:posOffset>-50800</wp:posOffset>
          </wp:positionH>
          <wp:positionV relativeFrom="paragraph">
            <wp:posOffset>81280</wp:posOffset>
          </wp:positionV>
          <wp:extent cx="935355" cy="924560"/>
          <wp:effectExtent l="0" t="0" r="0" b="0"/>
          <wp:wrapNone/>
          <wp:docPr id="1" name="Picture 14" descr="C:\Users\HISTORIAN\Downloads\logo6_9_21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STORIAN\Downloads\logo6_9_21332.jpeg"/>
                  <pic:cNvPicPr>
                    <a:picLocks noChangeAspect="1" noChangeArrowheads="1"/>
                  </pic:cNvPicPr>
                </pic:nvPicPr>
                <pic:blipFill>
                  <a:blip r:embed="rId2">
                    <a:clrChange>
                      <a:clrFrom>
                        <a:srgbClr val="FFFFFE"/>
                      </a:clrFrom>
                      <a:clrTo>
                        <a:srgbClr val="FFFFFE">
                          <a:alpha val="0"/>
                        </a:srgbClr>
                      </a:clrTo>
                    </a:clrChange>
                  </a:blip>
                  <a:srcRect/>
                  <a:stretch>
                    <a:fillRect/>
                  </a:stretch>
                </pic:blipFill>
                <pic:spPr bwMode="auto">
                  <a:xfrm>
                    <a:off x="0" y="0"/>
                    <a:ext cx="935355" cy="924560"/>
                  </a:xfrm>
                  <a:prstGeom prst="rect">
                    <a:avLst/>
                  </a:prstGeom>
                  <a:noFill/>
                  <a:ln w="9525">
                    <a:noFill/>
                    <a:miter lim="800000"/>
                    <a:headEnd/>
                    <a:tailEnd/>
                  </a:ln>
                </pic:spPr>
              </pic:pic>
            </a:graphicData>
          </a:graphic>
        </wp:anchor>
      </w:drawing>
    </w:r>
    <w:r w:rsidR="00831DAB">
      <w:rPr>
        <w:noProof/>
        <w:lang w:val="en-GB" w:eastAsia="en-GB"/>
      </w:rPr>
      <w:pict>
        <v:shapetype id="_x0000_t202" coordsize="21600,21600" o:spt="202" path="m,l,21600r21600,l21600,xe">
          <v:stroke joinstyle="miter"/>
          <v:path gradientshapeok="t" o:connecttype="rect"/>
        </v:shapetype>
        <v:shape id="_x0000_s2059" type="#_x0000_t202" style="position:absolute;left:0;text-align:left;margin-left:66.9pt;margin-top:.55pt;width:352.55pt;height:87.6pt;z-index:251670528;mso-position-horizontal-relative:text;mso-position-vertical-relative:text" fillcolor="#f2f2f2 [3052]" stroked="f">
          <v:textbox style="mso-next-textbox:#_x0000_s2059">
            <w:txbxContent>
              <w:p w:rsidR="00E642B7" w:rsidRDefault="00E642B7" w:rsidP="004D3F1F">
                <w:pPr>
                  <w:jc w:val="center"/>
                  <w:rPr>
                    <w:rFonts w:ascii="Bodoni MT Black" w:hAnsi="Bodoni MT Black"/>
                    <w:b/>
                    <w:sz w:val="28"/>
                    <w:lang w:val="en-GB"/>
                  </w:rPr>
                </w:pPr>
                <w:r>
                  <w:rPr>
                    <w:rFonts w:ascii="Bodoni MT Black" w:hAnsi="Bodoni MT Black"/>
                    <w:b/>
                    <w:sz w:val="28"/>
                    <w:lang w:val="en-GB"/>
                  </w:rPr>
                  <w:t>Prismatic Horizon</w:t>
                </w:r>
                <w:r w:rsidR="00D741CE">
                  <w:rPr>
                    <w:rFonts w:ascii="Bodoni MT Black" w:hAnsi="Bodoni MT Black"/>
                    <w:b/>
                    <w:sz w:val="28"/>
                    <w:lang w:val="en-GB"/>
                  </w:rPr>
                  <w:t>s</w:t>
                </w:r>
                <w:r>
                  <w:rPr>
                    <w:rFonts w:ascii="Bodoni MT Black" w:hAnsi="Bodoni MT Black"/>
                    <w:b/>
                    <w:sz w:val="28"/>
                    <w:lang w:val="en-GB"/>
                  </w:rPr>
                  <w:t xml:space="preserve"> </w:t>
                </w:r>
              </w:p>
              <w:p w:rsidR="007E059F" w:rsidRPr="004D3F1F" w:rsidRDefault="00E642B7" w:rsidP="004D3F1F">
                <w:pPr>
                  <w:jc w:val="center"/>
                  <w:rPr>
                    <w:rFonts w:ascii="Bodoni MT Black" w:hAnsi="Bodoni MT Black"/>
                    <w:b/>
                    <w:sz w:val="28"/>
                    <w:lang w:val="en-GB"/>
                  </w:rPr>
                </w:pPr>
                <w:r>
                  <w:rPr>
                    <w:rFonts w:ascii="Bodoni MT Black" w:hAnsi="Bodoni MT Black"/>
                    <w:b/>
                    <w:sz w:val="28"/>
                    <w:lang w:val="en-GB"/>
                  </w:rPr>
                  <w:t>Journal of Social Science and Humanities</w:t>
                </w:r>
              </w:p>
              <w:p w:rsidR="007E059F" w:rsidRDefault="00966BA7" w:rsidP="004D3F1F">
                <w:pPr>
                  <w:jc w:val="center"/>
                  <w:rPr>
                    <w:b/>
                  </w:rPr>
                </w:pPr>
                <w:hyperlink r:id="rId3" w:history="1">
                  <w:r w:rsidRPr="009F5888">
                    <w:rPr>
                      <w:rStyle w:val="Hyperlink"/>
                      <w:b/>
                    </w:rPr>
                    <w:t>www.prismatic.lexarcheus.com</w:t>
                  </w:r>
                </w:hyperlink>
              </w:p>
              <w:p w:rsidR="004D3F1F" w:rsidRPr="004D3F1F" w:rsidRDefault="004D3F1F" w:rsidP="004D3F1F">
                <w:pPr>
                  <w:jc w:val="center"/>
                  <w:rPr>
                    <w:b/>
                    <w:sz w:val="14"/>
                  </w:rPr>
                </w:pPr>
              </w:p>
              <w:p w:rsidR="004D3F1F" w:rsidRPr="004D3F1F" w:rsidRDefault="004D3F1F" w:rsidP="004D3F1F">
                <w:pPr>
                  <w:jc w:val="center"/>
                  <w:rPr>
                    <w:b/>
                  </w:rPr>
                </w:pPr>
                <w:r w:rsidRPr="004D3F1F">
                  <w:t>Vol.-</w:t>
                </w:r>
                <w:r w:rsidR="00824A64">
                  <w:t>01</w:t>
                </w:r>
                <w:r w:rsidRPr="004D3F1F">
                  <w:t>, Issue-</w:t>
                </w:r>
                <w:r w:rsidR="00824A64">
                  <w:t>01</w:t>
                </w:r>
                <w:r w:rsidRPr="004D3F1F">
                  <w:t xml:space="preserve"> (</w:t>
                </w:r>
                <w:r w:rsidR="00824A64">
                  <w:t>Jan</w:t>
                </w:r>
                <w:r w:rsidRPr="004D3F1F">
                  <w:t>-</w:t>
                </w:r>
                <w:r w:rsidR="00824A64">
                  <w:t>Mar</w:t>
                </w:r>
                <w:r w:rsidRPr="004D3F1F">
                  <w:t xml:space="preserve">, </w:t>
                </w:r>
                <w:r w:rsidR="00824A64">
                  <w:t>2023</w:t>
                </w:r>
                <w:r w:rsidRPr="004D3F1F">
                  <w:t>)</w:t>
                </w:r>
                <w:r w:rsidRPr="004D3F1F">
                  <w:rPr>
                    <w:b/>
                    <w:lang w:val="en-GB"/>
                  </w:rPr>
                  <w:t xml:space="preserve"> </w:t>
                </w:r>
              </w:p>
              <w:p w:rsidR="004D3F1F" w:rsidRPr="004D3F1F" w:rsidRDefault="004D3F1F" w:rsidP="004D3F1F">
                <w:pPr>
                  <w:jc w:val="center"/>
                  <w:rPr>
                    <w:b/>
                  </w:rPr>
                </w:pPr>
                <w:r w:rsidRPr="004D3F1F">
                  <w:rPr>
                    <w:b/>
                  </w:rPr>
                  <w:t>ISSN: 0000-0000</w:t>
                </w:r>
              </w:p>
              <w:p w:rsidR="004D3F1F" w:rsidRDefault="004D3F1F" w:rsidP="004D3F1F">
                <w:pPr>
                  <w:jc w:val="center"/>
                </w:pPr>
              </w:p>
            </w:txbxContent>
          </v:textbox>
        </v:shape>
      </w:pict>
    </w:r>
  </w:p>
  <w:p w:rsidR="0045010F" w:rsidRDefault="0045010F" w:rsidP="005D57EF">
    <w:pPr>
      <w:pStyle w:val="Header"/>
      <w:jc w:val="center"/>
      <w:rPr>
        <w:b/>
        <w:color w:val="7030A0"/>
      </w:rPr>
    </w:pPr>
  </w:p>
  <w:p w:rsidR="007E059F" w:rsidRDefault="007E059F" w:rsidP="005D57EF">
    <w:pPr>
      <w:pStyle w:val="Header"/>
      <w:jc w:val="center"/>
      <w:rPr>
        <w:b/>
        <w:color w:val="7030A0"/>
      </w:rPr>
    </w:pPr>
  </w:p>
  <w:p w:rsidR="007E059F" w:rsidRPr="005D57EF" w:rsidRDefault="007E059F" w:rsidP="005D57EF">
    <w:pPr>
      <w:pStyle w:val="Header"/>
      <w:jc w:val="center"/>
      <w:rPr>
        <w:b/>
        <w:color w:val="7030A0"/>
      </w:rPr>
    </w:pPr>
  </w:p>
  <w:p w:rsidR="00AE22ED" w:rsidRDefault="00AE22ED" w:rsidP="005D57EF">
    <w:pPr>
      <w:pStyle w:val="Header"/>
      <w:jc w:val="center"/>
    </w:pPr>
  </w:p>
  <w:p w:rsidR="004D3F1F" w:rsidRDefault="004D3F1F" w:rsidP="007E059F">
    <w:pPr>
      <w:pStyle w:val="Header"/>
    </w:pPr>
  </w:p>
  <w:p w:rsidR="0045010F" w:rsidRDefault="007E059F" w:rsidP="007E059F">
    <w:pPr>
      <w:pStyle w:val="Header"/>
    </w:pPr>
    <w:r>
      <w:tab/>
    </w:r>
  </w:p>
  <w:p w:rsidR="0045010F" w:rsidRDefault="00831DAB">
    <w:pPr>
      <w:pStyle w:val="Header"/>
    </w:pPr>
    <w:r>
      <w:rPr>
        <w:noProof/>
        <w:lang w:val="en-GB" w:eastAsia="en-GB"/>
      </w:rPr>
      <w:pict>
        <v:shapetype id="_x0000_t32" coordsize="21600,21600" o:spt="32" o:oned="t" path="m,l21600,21600e" filled="f">
          <v:path arrowok="t" fillok="f" o:connecttype="none"/>
          <o:lock v:ext="edit" shapetype="t"/>
        </v:shapetype>
        <v:shape id="_x0000_s2058" type="#_x0000_t32" style="position:absolute;left:0;text-align:left;margin-left:.35pt;margin-top:6.2pt;width:480.9pt;height:0;z-index:251667456" o:connectortype="straight" strokecolor="#0070c0" strokeweight="3pt"/>
      </w:pict>
    </w:r>
  </w:p>
  <w:p w:rsidR="0045010F" w:rsidRPr="0045010F" w:rsidRDefault="0045010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10F" w:rsidRPr="00AE22ED" w:rsidRDefault="00D741CE">
    <w:pPr>
      <w:pStyle w:val="Header"/>
      <w:rPr>
        <w:b/>
        <w:color w:val="002060"/>
      </w:rPr>
    </w:pPr>
    <w:r>
      <w:rPr>
        <w:b/>
        <w:noProof/>
        <w:color w:val="002060"/>
        <w:lang w:val="en-GB" w:eastAsia="en-GB"/>
      </w:rPr>
      <w:drawing>
        <wp:anchor distT="0" distB="0" distL="114300" distR="114300" simplePos="0" relativeHeight="251676672" behindDoc="0" locked="0" layoutInCell="1" allowOverlap="1">
          <wp:simplePos x="0" y="0"/>
          <wp:positionH relativeFrom="column">
            <wp:posOffset>5404263</wp:posOffset>
          </wp:positionH>
          <wp:positionV relativeFrom="paragraph">
            <wp:posOffset>-46178</wp:posOffset>
          </wp:positionV>
          <wp:extent cx="754912" cy="744279"/>
          <wp:effectExtent l="0" t="0" r="0" b="0"/>
          <wp:wrapNone/>
          <wp:docPr id="17" name="Picture 14" descr="C:\Users\HISTORIAN\Downloads\logo6_9_21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STORIAN\Downloads\logo6_9_21332.jpeg"/>
                  <pic:cNvPicPr>
                    <a:picLocks noChangeAspect="1" noChangeArrowheads="1"/>
                  </pic:cNvPicPr>
                </pic:nvPicPr>
                <pic:blipFill>
                  <a:blip r:embed="rId1">
                    <a:clrChange>
                      <a:clrFrom>
                        <a:srgbClr val="FFFFFE"/>
                      </a:clrFrom>
                      <a:clrTo>
                        <a:srgbClr val="FFFFFE">
                          <a:alpha val="0"/>
                        </a:srgbClr>
                      </a:clrTo>
                    </a:clrChange>
                  </a:blip>
                  <a:srcRect/>
                  <a:stretch>
                    <a:fillRect/>
                  </a:stretch>
                </pic:blipFill>
                <pic:spPr bwMode="auto">
                  <a:xfrm>
                    <a:off x="0" y="0"/>
                    <a:ext cx="754912" cy="744279"/>
                  </a:xfrm>
                  <a:prstGeom prst="rect">
                    <a:avLst/>
                  </a:prstGeom>
                  <a:noFill/>
                  <a:ln w="9525">
                    <a:noFill/>
                    <a:miter lim="800000"/>
                    <a:headEnd/>
                    <a:tailEnd/>
                  </a:ln>
                </pic:spPr>
              </pic:pic>
            </a:graphicData>
          </a:graphic>
        </wp:anchor>
      </w:drawing>
    </w:r>
    <w:r w:rsidR="00E642B7">
      <w:rPr>
        <w:b/>
        <w:noProof/>
        <w:color w:val="002060"/>
        <w:lang w:val="en-GB" w:eastAsia="en-GB"/>
      </w:rPr>
      <w:t>Prismatic Horizon</w:t>
    </w:r>
    <w:r>
      <w:rPr>
        <w:b/>
        <w:noProof/>
        <w:color w:val="002060"/>
        <w:lang w:val="en-GB" w:eastAsia="en-GB"/>
      </w:rPr>
      <w:t>s</w:t>
    </w:r>
    <w:r w:rsidR="00E642B7">
      <w:rPr>
        <w:b/>
        <w:noProof/>
        <w:color w:val="002060"/>
        <w:lang w:val="en-GB" w:eastAsia="en-GB"/>
      </w:rPr>
      <w:t>: Journal of Social Science and Humanities</w:t>
    </w:r>
  </w:p>
  <w:p w:rsidR="0045010F" w:rsidRPr="00AE22ED" w:rsidRDefault="0045010F">
    <w:pPr>
      <w:pStyle w:val="Header"/>
      <w:rPr>
        <w:b/>
        <w:color w:val="002060"/>
      </w:rPr>
    </w:pPr>
    <w:r w:rsidRPr="00AE22ED">
      <w:rPr>
        <w:b/>
        <w:color w:val="002060"/>
      </w:rPr>
      <w:t xml:space="preserve">ISSN: </w:t>
    </w:r>
    <w:r w:rsidR="00916078" w:rsidRPr="00916078">
      <w:rPr>
        <w:b/>
        <w:color w:val="002060"/>
      </w:rPr>
      <w:t>2583-9284</w:t>
    </w:r>
  </w:p>
  <w:p w:rsidR="0045010F" w:rsidRDefault="0045010F">
    <w:pPr>
      <w:pStyle w:val="Header"/>
    </w:pPr>
    <w:r w:rsidRPr="0045010F">
      <w:t xml:space="preserve">Vol : </w:t>
    </w:r>
    <w:r w:rsidR="00966BA7">
      <w:t>XX</w:t>
    </w:r>
    <w:r w:rsidRPr="0045010F">
      <w:t xml:space="preserve"> , No. </w:t>
    </w:r>
    <w:r w:rsidR="00966BA7">
      <w:t>XX</w:t>
    </w:r>
    <w:r w:rsidRPr="0045010F">
      <w:t xml:space="preserve">, </w:t>
    </w:r>
    <w:r w:rsidR="00966BA7">
      <w:t>MM</w:t>
    </w:r>
    <w:r w:rsidRPr="0045010F">
      <w:t>-</w:t>
    </w:r>
    <w:r w:rsidR="00966BA7">
      <w:t>MM</w:t>
    </w:r>
    <w:r w:rsidR="007E059F">
      <w:t>,</w:t>
    </w:r>
    <w:r w:rsidRPr="0045010F">
      <w:t xml:space="preserve"> </w:t>
    </w:r>
    <w:r w:rsidR="00966BA7">
      <w:t>YYYY</w:t>
    </w:r>
  </w:p>
  <w:p w:rsidR="0045010F" w:rsidRDefault="00966BA7">
    <w:pPr>
      <w:pStyle w:val="Header"/>
    </w:pPr>
    <w:hyperlink r:id="rId2" w:history="1">
      <w:r w:rsidRPr="009F5888">
        <w:rPr>
          <w:rStyle w:val="Hyperlink"/>
        </w:rPr>
        <w:t>www.prismatic.lexarcheus.com</w:t>
      </w:r>
    </w:hyperlink>
    <w:r w:rsidR="0045010F">
      <w:t xml:space="preserve"> </w:t>
    </w:r>
  </w:p>
  <w:p w:rsidR="0045010F" w:rsidRPr="0045010F" w:rsidRDefault="00831DAB">
    <w:pPr>
      <w:pStyle w:val="Header"/>
    </w:pPr>
    <w:r>
      <w:rPr>
        <w:noProof/>
        <w:lang w:val="en-GB" w:eastAsia="en-GB"/>
      </w:rPr>
      <w:pict>
        <v:shapetype id="_x0000_t32" coordsize="21600,21600" o:spt="32" o:oned="t" path="m,l21600,21600e" filled="f">
          <v:path arrowok="t" fillok="f" o:connecttype="none"/>
          <o:lock v:ext="edit" shapetype="t"/>
        </v:shapetype>
        <v:shape id="_x0000_s2049" type="#_x0000_t32" style="position:absolute;left:0;text-align:left;margin-left:.35pt;margin-top:3.7pt;width:480.9pt;height:0;z-index:251662336" o:connectortype="straight" strokeweight="1.5p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3314">
      <o:colormenu v:ext="edit" fillcolor="none [3052]" strokecolor="none"/>
    </o:shapedefaults>
    <o:shapelayout v:ext="edit">
      <o:idmap v:ext="edit" data="2"/>
      <o:rules v:ext="edit">
        <o:r id="V:Rule4" type="connector" idref="#_x0000_s2064"/>
        <o:r id="V:Rule5" type="connector" idref="#_x0000_s2049"/>
        <o:r id="V:Rule6" type="connector" idref="#_x0000_s2058"/>
      </o:rules>
    </o:shapelayout>
  </w:hdrShapeDefaults>
  <w:footnotePr>
    <w:footnote w:id="0"/>
    <w:footnote w:id="1"/>
  </w:footnotePr>
  <w:endnotePr>
    <w:endnote w:id="0"/>
    <w:endnote w:id="1"/>
  </w:endnotePr>
  <w:compat/>
  <w:rsids>
    <w:rsidRoot w:val="00F36FE8"/>
    <w:rsid w:val="00003959"/>
    <w:rsid w:val="00042978"/>
    <w:rsid w:val="00074A18"/>
    <w:rsid w:val="000C7F51"/>
    <w:rsid w:val="000F3924"/>
    <w:rsid w:val="00116CB3"/>
    <w:rsid w:val="00166001"/>
    <w:rsid w:val="001808DF"/>
    <w:rsid w:val="00196202"/>
    <w:rsid w:val="00224249"/>
    <w:rsid w:val="002A3AE7"/>
    <w:rsid w:val="002E376D"/>
    <w:rsid w:val="002E54EF"/>
    <w:rsid w:val="00320ABF"/>
    <w:rsid w:val="003213F7"/>
    <w:rsid w:val="00354DD3"/>
    <w:rsid w:val="004158A6"/>
    <w:rsid w:val="0045010F"/>
    <w:rsid w:val="004B0DF6"/>
    <w:rsid w:val="004D3F1F"/>
    <w:rsid w:val="00532295"/>
    <w:rsid w:val="005774E2"/>
    <w:rsid w:val="00581B61"/>
    <w:rsid w:val="005D3A87"/>
    <w:rsid w:val="005D57EF"/>
    <w:rsid w:val="00625416"/>
    <w:rsid w:val="006A4DD8"/>
    <w:rsid w:val="00711FC1"/>
    <w:rsid w:val="007541B6"/>
    <w:rsid w:val="00796E10"/>
    <w:rsid w:val="007E059F"/>
    <w:rsid w:val="007F1352"/>
    <w:rsid w:val="008164E1"/>
    <w:rsid w:val="00824A64"/>
    <w:rsid w:val="00831DAB"/>
    <w:rsid w:val="00883A07"/>
    <w:rsid w:val="008A4F21"/>
    <w:rsid w:val="008D7D0B"/>
    <w:rsid w:val="00916078"/>
    <w:rsid w:val="00931BDA"/>
    <w:rsid w:val="00966BA7"/>
    <w:rsid w:val="0099341D"/>
    <w:rsid w:val="00A40EFC"/>
    <w:rsid w:val="00A41277"/>
    <w:rsid w:val="00A90DC5"/>
    <w:rsid w:val="00AB13A8"/>
    <w:rsid w:val="00AB39FE"/>
    <w:rsid w:val="00AE22ED"/>
    <w:rsid w:val="00B20591"/>
    <w:rsid w:val="00B22C76"/>
    <w:rsid w:val="00B621D7"/>
    <w:rsid w:val="00B76AC8"/>
    <w:rsid w:val="00B91ECA"/>
    <w:rsid w:val="00B92EC9"/>
    <w:rsid w:val="00BB5465"/>
    <w:rsid w:val="00BC445D"/>
    <w:rsid w:val="00C306F4"/>
    <w:rsid w:val="00C546E1"/>
    <w:rsid w:val="00C55740"/>
    <w:rsid w:val="00CB4252"/>
    <w:rsid w:val="00D16203"/>
    <w:rsid w:val="00D741CE"/>
    <w:rsid w:val="00D8093E"/>
    <w:rsid w:val="00DC1D29"/>
    <w:rsid w:val="00DC4545"/>
    <w:rsid w:val="00E642B7"/>
    <w:rsid w:val="00EE5199"/>
    <w:rsid w:val="00EE6055"/>
    <w:rsid w:val="00F36FE8"/>
    <w:rsid w:val="00F42569"/>
    <w:rsid w:val="00F731BA"/>
    <w:rsid w:val="00F9220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305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GB"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252"/>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2C76"/>
    <w:rPr>
      <w:color w:val="0000FF" w:themeColor="hyperlink"/>
      <w:u w:val="single"/>
    </w:rPr>
  </w:style>
  <w:style w:type="table" w:styleId="TableGrid">
    <w:name w:val="Table Grid"/>
    <w:basedOn w:val="TableNormal"/>
    <w:uiPriority w:val="59"/>
    <w:rsid w:val="002A3AE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A40EFC"/>
    <w:pPr>
      <w:ind w:left="720"/>
      <w:contextualSpacing/>
    </w:pPr>
  </w:style>
  <w:style w:type="paragraph" w:styleId="Header">
    <w:name w:val="header"/>
    <w:basedOn w:val="Normal"/>
    <w:link w:val="HeaderChar"/>
    <w:uiPriority w:val="99"/>
    <w:semiHidden/>
    <w:unhideWhenUsed/>
    <w:rsid w:val="006A4DD8"/>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6A4DD8"/>
    <w:rPr>
      <w:lang w:val="en-IN"/>
    </w:rPr>
  </w:style>
  <w:style w:type="paragraph" w:styleId="Footer">
    <w:name w:val="footer"/>
    <w:basedOn w:val="Normal"/>
    <w:link w:val="FooterChar"/>
    <w:uiPriority w:val="99"/>
    <w:semiHidden/>
    <w:unhideWhenUsed/>
    <w:rsid w:val="006A4DD8"/>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A4DD8"/>
    <w:rPr>
      <w:lang w:val="en-IN"/>
    </w:rPr>
  </w:style>
</w:styles>
</file>

<file path=word/webSettings.xml><?xml version="1.0" encoding="utf-8"?>
<w:webSettings xmlns:r="http://schemas.openxmlformats.org/officeDocument/2006/relationships" xmlns:w="http://schemas.openxmlformats.org/wordprocessingml/2006/main">
  <w:divs>
    <w:div w:id="140121855">
      <w:bodyDiv w:val="1"/>
      <w:marLeft w:val="0"/>
      <w:marRight w:val="0"/>
      <w:marTop w:val="0"/>
      <w:marBottom w:val="0"/>
      <w:divBdr>
        <w:top w:val="none" w:sz="0" w:space="0" w:color="auto"/>
        <w:left w:val="none" w:sz="0" w:space="0" w:color="auto"/>
        <w:bottom w:val="none" w:sz="0" w:space="0" w:color="auto"/>
        <w:right w:val="none" w:sz="0" w:space="0" w:color="auto"/>
      </w:divBdr>
    </w:div>
    <w:div w:id="153962008">
      <w:bodyDiv w:val="1"/>
      <w:marLeft w:val="0"/>
      <w:marRight w:val="0"/>
      <w:marTop w:val="0"/>
      <w:marBottom w:val="0"/>
      <w:divBdr>
        <w:top w:val="none" w:sz="0" w:space="0" w:color="auto"/>
        <w:left w:val="none" w:sz="0" w:space="0" w:color="auto"/>
        <w:bottom w:val="none" w:sz="0" w:space="0" w:color="auto"/>
        <w:right w:val="none" w:sz="0" w:space="0" w:color="auto"/>
      </w:divBdr>
    </w:div>
    <w:div w:id="245119237">
      <w:bodyDiv w:val="1"/>
      <w:marLeft w:val="0"/>
      <w:marRight w:val="0"/>
      <w:marTop w:val="0"/>
      <w:marBottom w:val="0"/>
      <w:divBdr>
        <w:top w:val="none" w:sz="0" w:space="0" w:color="auto"/>
        <w:left w:val="none" w:sz="0" w:space="0" w:color="auto"/>
        <w:bottom w:val="none" w:sz="0" w:space="0" w:color="auto"/>
        <w:right w:val="none" w:sz="0" w:space="0" w:color="auto"/>
      </w:divBdr>
    </w:div>
    <w:div w:id="1236865623">
      <w:bodyDiv w:val="1"/>
      <w:marLeft w:val="0"/>
      <w:marRight w:val="0"/>
      <w:marTop w:val="0"/>
      <w:marBottom w:val="0"/>
      <w:divBdr>
        <w:top w:val="none" w:sz="0" w:space="0" w:color="auto"/>
        <w:left w:val="none" w:sz="0" w:space="0" w:color="auto"/>
        <w:bottom w:val="none" w:sz="0" w:space="0" w:color="auto"/>
        <w:right w:val="none" w:sz="0" w:space="0" w:color="auto"/>
      </w:divBdr>
    </w:div>
    <w:div w:id="1277059469">
      <w:bodyDiv w:val="1"/>
      <w:marLeft w:val="0"/>
      <w:marRight w:val="0"/>
      <w:marTop w:val="0"/>
      <w:marBottom w:val="0"/>
      <w:divBdr>
        <w:top w:val="none" w:sz="0" w:space="0" w:color="auto"/>
        <w:left w:val="none" w:sz="0" w:space="0" w:color="auto"/>
        <w:bottom w:val="none" w:sz="0" w:space="0" w:color="auto"/>
        <w:right w:val="none" w:sz="0" w:space="0" w:color="auto"/>
      </w:divBdr>
    </w:div>
    <w:div w:id="1570337497">
      <w:bodyDiv w:val="1"/>
      <w:marLeft w:val="0"/>
      <w:marRight w:val="0"/>
      <w:marTop w:val="0"/>
      <w:marBottom w:val="0"/>
      <w:divBdr>
        <w:top w:val="none" w:sz="0" w:space="0" w:color="auto"/>
        <w:left w:val="none" w:sz="0" w:space="0" w:color="auto"/>
        <w:bottom w:val="none" w:sz="0" w:space="0" w:color="auto"/>
        <w:right w:val="none" w:sz="0" w:space="0" w:color="auto"/>
      </w:divBdr>
    </w:div>
    <w:div w:id="1867212913">
      <w:bodyDiv w:val="1"/>
      <w:marLeft w:val="0"/>
      <w:marRight w:val="0"/>
      <w:marTop w:val="0"/>
      <w:marBottom w:val="0"/>
      <w:divBdr>
        <w:top w:val="none" w:sz="0" w:space="0" w:color="auto"/>
        <w:left w:val="none" w:sz="0" w:space="0" w:color="auto"/>
        <w:bottom w:val="none" w:sz="0" w:space="0" w:color="auto"/>
        <w:right w:val="none" w:sz="0" w:space="0" w:color="auto"/>
      </w:divBdr>
    </w:div>
    <w:div w:id="192630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prismatic.lexarcheus.com" TargetMode="External"/><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prismatic.lexarcheus.com"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D5143-A276-4AC3-A4DE-1E3507DDD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9</Pages>
  <Words>4516</Words>
  <Characters>25745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HISTORIAN</dc:creator>
  <cp:lastModifiedBy>HISTORIAN</cp:lastModifiedBy>
  <cp:revision>31</cp:revision>
  <cp:lastPrinted>2023-06-10T17:32:00Z</cp:lastPrinted>
  <dcterms:created xsi:type="dcterms:W3CDTF">2023-06-07T10:41:00Z</dcterms:created>
  <dcterms:modified xsi:type="dcterms:W3CDTF">2023-10-26T19:42:00Z</dcterms:modified>
</cp:coreProperties>
</file>